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8311E7" w14:textId="77777777" w:rsidR="004E16E3" w:rsidRDefault="004E16E3" w:rsidP="004E16E3">
      <w:pPr>
        <w:spacing w:line="240" w:lineRule="auto"/>
        <w:jc w:val="center"/>
        <w:rPr>
          <w:rFonts w:ascii="Times New Roman" w:hAnsi="Times New Roman"/>
          <w:b/>
          <w:sz w:val="24"/>
          <w:szCs w:val="24"/>
        </w:rPr>
      </w:pPr>
      <w:r>
        <w:rPr>
          <w:rFonts w:ascii="Times New Roman" w:hAnsi="Times New Roman"/>
          <w:b/>
          <w:sz w:val="24"/>
          <w:szCs w:val="24"/>
        </w:rPr>
        <w:t xml:space="preserve">PETROLEUM AND NATURAL GAS REGULATORY BOARD </w:t>
      </w:r>
    </w:p>
    <w:p w14:paraId="69528968" w14:textId="77777777" w:rsidR="004E16E3" w:rsidRDefault="004E16E3" w:rsidP="004E16E3">
      <w:pPr>
        <w:spacing w:line="240" w:lineRule="auto"/>
        <w:jc w:val="center"/>
        <w:rPr>
          <w:rFonts w:ascii="Times New Roman" w:hAnsi="Times New Roman"/>
          <w:b/>
          <w:sz w:val="24"/>
          <w:szCs w:val="24"/>
        </w:rPr>
      </w:pPr>
      <w:r>
        <w:rPr>
          <w:rFonts w:ascii="Times New Roman" w:hAnsi="Times New Roman"/>
          <w:b/>
          <w:sz w:val="24"/>
          <w:szCs w:val="24"/>
        </w:rPr>
        <w:t>NOTIFICATION</w:t>
      </w:r>
    </w:p>
    <w:p w14:paraId="1E6E475B" w14:textId="77777777" w:rsidR="004E16E3" w:rsidRDefault="004E16E3" w:rsidP="004E16E3">
      <w:pPr>
        <w:spacing w:line="240" w:lineRule="auto"/>
        <w:jc w:val="center"/>
        <w:rPr>
          <w:rFonts w:ascii="Times New Roman" w:hAnsi="Times New Roman"/>
          <w:sz w:val="24"/>
          <w:szCs w:val="24"/>
        </w:rPr>
      </w:pPr>
      <w:r>
        <w:rPr>
          <w:rFonts w:ascii="Times New Roman" w:hAnsi="Times New Roman"/>
          <w:sz w:val="24"/>
          <w:szCs w:val="24"/>
        </w:rPr>
        <w:t>New Delhi, the 20</w:t>
      </w:r>
      <w:r>
        <w:rPr>
          <w:rFonts w:ascii="Times New Roman" w:hAnsi="Times New Roman"/>
          <w:sz w:val="24"/>
          <w:szCs w:val="24"/>
          <w:vertAlign w:val="superscript"/>
        </w:rPr>
        <w:t>th</w:t>
      </w:r>
      <w:r>
        <w:rPr>
          <w:rFonts w:ascii="Times New Roman" w:hAnsi="Times New Roman"/>
          <w:sz w:val="24"/>
          <w:szCs w:val="24"/>
        </w:rPr>
        <w:t xml:space="preserve"> December, 2010</w:t>
      </w:r>
    </w:p>
    <w:p w14:paraId="07B4291B" w14:textId="77777777" w:rsidR="004E16E3" w:rsidRDefault="004E16E3" w:rsidP="004E16E3">
      <w:pPr>
        <w:jc w:val="both"/>
        <w:rPr>
          <w:rFonts w:ascii="Times New Roman" w:hAnsi="Times New Roman"/>
          <w:sz w:val="24"/>
          <w:szCs w:val="24"/>
        </w:rPr>
      </w:pPr>
      <w:r>
        <w:rPr>
          <w:rFonts w:ascii="Times New Roman" w:hAnsi="Times New Roman"/>
          <w:b/>
          <w:sz w:val="24"/>
          <w:szCs w:val="24"/>
        </w:rPr>
        <w:t>G.S.R. 987(E).</w:t>
      </w:r>
      <w:r>
        <w:rPr>
          <w:rFonts w:ascii="Times New Roman" w:hAnsi="Times New Roman"/>
          <w:sz w:val="24"/>
          <w:szCs w:val="24"/>
        </w:rPr>
        <w:t xml:space="preserve"> --- In exercise of the powers conferred by Section 61 of the Petroleum and Natural Gas Regulatory Board Act, 2006 (19 of 2006), the Petroleum and Natural Gas Regulatory Board hereby makes the following regulations, </w:t>
      </w:r>
      <w:proofErr w:type="gramStart"/>
      <w:r>
        <w:rPr>
          <w:rFonts w:ascii="Times New Roman" w:hAnsi="Times New Roman"/>
          <w:sz w:val="24"/>
          <w:szCs w:val="24"/>
        </w:rPr>
        <w:t>namely:-</w:t>
      </w:r>
      <w:proofErr w:type="gramEnd"/>
    </w:p>
    <w:p w14:paraId="1ED7AD2E" w14:textId="2ED0C216" w:rsidR="00875A1E" w:rsidRPr="00947138" w:rsidRDefault="00875A1E" w:rsidP="00947138">
      <w:pPr>
        <w:pStyle w:val="ListParagraph"/>
        <w:numPr>
          <w:ilvl w:val="0"/>
          <w:numId w:val="6"/>
        </w:numPr>
        <w:jc w:val="both"/>
        <w:rPr>
          <w:rFonts w:ascii="Times New Roman" w:hAnsi="Times New Roman"/>
          <w:b/>
          <w:sz w:val="24"/>
          <w:szCs w:val="24"/>
        </w:rPr>
      </w:pPr>
      <w:r w:rsidRPr="00947138">
        <w:rPr>
          <w:rFonts w:ascii="Times New Roman" w:hAnsi="Times New Roman"/>
          <w:b/>
          <w:sz w:val="24"/>
          <w:szCs w:val="24"/>
        </w:rPr>
        <w:t>Short title and commencement</w:t>
      </w:r>
    </w:p>
    <w:p w14:paraId="531B850B" w14:textId="77777777" w:rsidR="00875A1E" w:rsidRDefault="00875A1E" w:rsidP="00875A1E">
      <w:pPr>
        <w:numPr>
          <w:ilvl w:val="0"/>
          <w:numId w:val="2"/>
        </w:numPr>
        <w:ind w:left="1134"/>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Petroleum and Petroleum Products Pipeline Transportation Tariff) Regulations, 2010.</w:t>
      </w:r>
    </w:p>
    <w:p w14:paraId="61CBCDD6" w14:textId="77777777" w:rsidR="00875A1E" w:rsidRDefault="00875A1E" w:rsidP="00875A1E">
      <w:pPr>
        <w:numPr>
          <w:ilvl w:val="0"/>
          <w:numId w:val="2"/>
        </w:numPr>
        <w:ind w:left="1134"/>
        <w:jc w:val="both"/>
        <w:rPr>
          <w:rFonts w:ascii="Times New Roman" w:hAnsi="Times New Roman"/>
          <w:sz w:val="24"/>
          <w:szCs w:val="24"/>
        </w:rPr>
      </w:pPr>
      <w:r>
        <w:rPr>
          <w:rFonts w:ascii="Times New Roman" w:hAnsi="Times New Roman"/>
          <w:sz w:val="24"/>
          <w:szCs w:val="24"/>
        </w:rPr>
        <w:t>These shall come into force on the date of their publication in the Official Gazette.</w:t>
      </w:r>
    </w:p>
    <w:p w14:paraId="62A47896" w14:textId="27212E97" w:rsidR="00875A1E" w:rsidRPr="00947138" w:rsidRDefault="00875A1E" w:rsidP="00947138">
      <w:pPr>
        <w:pStyle w:val="ListParagraph"/>
        <w:numPr>
          <w:ilvl w:val="0"/>
          <w:numId w:val="6"/>
        </w:numPr>
        <w:jc w:val="both"/>
        <w:rPr>
          <w:rFonts w:ascii="Times New Roman" w:hAnsi="Times New Roman"/>
          <w:b/>
          <w:sz w:val="24"/>
          <w:szCs w:val="24"/>
        </w:rPr>
      </w:pPr>
      <w:r w:rsidRPr="00947138">
        <w:rPr>
          <w:rFonts w:ascii="Times New Roman" w:hAnsi="Times New Roman"/>
          <w:b/>
          <w:sz w:val="24"/>
          <w:szCs w:val="24"/>
        </w:rPr>
        <w:t>Definitions</w:t>
      </w:r>
    </w:p>
    <w:p w14:paraId="5AB2F745" w14:textId="77777777" w:rsidR="00875A1E" w:rsidRDefault="00875A1E" w:rsidP="00875A1E">
      <w:pPr>
        <w:ind w:left="851"/>
        <w:jc w:val="both"/>
        <w:rPr>
          <w:rFonts w:ascii="Times New Roman" w:hAnsi="Times New Roman"/>
          <w:sz w:val="24"/>
          <w:szCs w:val="24"/>
        </w:rPr>
      </w:pPr>
      <w:r>
        <w:rPr>
          <w:rFonts w:ascii="Times New Roman" w:hAnsi="Times New Roman"/>
          <w:sz w:val="24"/>
          <w:szCs w:val="24"/>
        </w:rPr>
        <w:t xml:space="preserve">(1) In these regulations, unless the context otherwise </w:t>
      </w:r>
      <w:proofErr w:type="gramStart"/>
      <w:r>
        <w:rPr>
          <w:rFonts w:ascii="Times New Roman" w:hAnsi="Times New Roman"/>
          <w:sz w:val="24"/>
          <w:szCs w:val="24"/>
        </w:rPr>
        <w:t>requires,-</w:t>
      </w:r>
      <w:proofErr w:type="gramEnd"/>
      <w:r>
        <w:rPr>
          <w:rFonts w:ascii="Times New Roman" w:hAnsi="Times New Roman"/>
          <w:sz w:val="24"/>
          <w:szCs w:val="24"/>
        </w:rPr>
        <w:t>-</w:t>
      </w:r>
    </w:p>
    <w:p w14:paraId="1EC4F7AC" w14:textId="77777777" w:rsidR="00875A1E" w:rsidRDefault="00875A1E" w:rsidP="00875A1E">
      <w:pPr>
        <w:numPr>
          <w:ilvl w:val="0"/>
          <w:numId w:val="3"/>
        </w:numPr>
        <w:ind w:left="1418"/>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055E40A7" w14:textId="77777777" w:rsidR="00875A1E" w:rsidRDefault="00875A1E" w:rsidP="00875A1E">
      <w:pPr>
        <w:numPr>
          <w:ilvl w:val="0"/>
          <w:numId w:val="3"/>
        </w:numPr>
        <w:ind w:left="1418"/>
        <w:jc w:val="both"/>
        <w:rPr>
          <w:rFonts w:ascii="Times New Roman" w:hAnsi="Times New Roman"/>
          <w:sz w:val="24"/>
          <w:szCs w:val="24"/>
        </w:rPr>
      </w:pPr>
      <w:r>
        <w:rPr>
          <w:rFonts w:ascii="Times New Roman" w:hAnsi="Times New Roman"/>
          <w:sz w:val="24"/>
          <w:szCs w:val="24"/>
        </w:rPr>
        <w:t>“appointed day” means the date of October 1, 2007;</w:t>
      </w:r>
    </w:p>
    <w:p w14:paraId="0BE2FEDE" w14:textId="5F791E7A" w:rsidR="00875A1E" w:rsidRDefault="00875A1E" w:rsidP="00875A1E">
      <w:pPr>
        <w:numPr>
          <w:ilvl w:val="0"/>
          <w:numId w:val="3"/>
        </w:numPr>
        <w:ind w:left="1418"/>
        <w:jc w:val="both"/>
        <w:rPr>
          <w:rFonts w:ascii="Times New Roman" w:hAnsi="Times New Roman"/>
          <w:sz w:val="24"/>
          <w:szCs w:val="24"/>
        </w:rPr>
      </w:pPr>
      <w:r>
        <w:rPr>
          <w:rFonts w:ascii="Times New Roman" w:hAnsi="Times New Roman"/>
          <w:sz w:val="24"/>
          <w:szCs w:val="24"/>
        </w:rPr>
        <w:t>“Board</w:t>
      </w:r>
      <w:r w:rsidR="003F4885">
        <w:rPr>
          <w:rFonts w:ascii="Times New Roman" w:hAnsi="Times New Roman"/>
          <w:sz w:val="24"/>
          <w:szCs w:val="24"/>
        </w:rPr>
        <w:t>”</w:t>
      </w:r>
      <w:r>
        <w:rPr>
          <w:rFonts w:ascii="Times New Roman" w:hAnsi="Times New Roman"/>
          <w:sz w:val="24"/>
          <w:szCs w:val="24"/>
        </w:rPr>
        <w:t xml:space="preserve"> means the Petroleum and Natural Gas Regulatory Board established under sub-section (1) of the Section 3 of the Act</w:t>
      </w:r>
      <w:r w:rsidR="003F4885">
        <w:rPr>
          <w:rFonts w:ascii="Times New Roman" w:hAnsi="Times New Roman"/>
          <w:sz w:val="24"/>
          <w:szCs w:val="24"/>
        </w:rPr>
        <w:t>;</w:t>
      </w:r>
    </w:p>
    <w:p w14:paraId="1E5846F8" w14:textId="77777777" w:rsidR="00875A1E" w:rsidRDefault="00875A1E" w:rsidP="00875A1E">
      <w:pPr>
        <w:numPr>
          <w:ilvl w:val="0"/>
          <w:numId w:val="3"/>
        </w:numPr>
        <w:ind w:left="1418"/>
        <w:jc w:val="both"/>
        <w:rPr>
          <w:rFonts w:ascii="Times New Roman" w:hAnsi="Times New Roman"/>
          <w:sz w:val="24"/>
          <w:szCs w:val="24"/>
        </w:rPr>
      </w:pPr>
      <w:r>
        <w:rPr>
          <w:rFonts w:ascii="Times New Roman" w:hAnsi="Times New Roman"/>
          <w:sz w:val="24"/>
          <w:szCs w:val="24"/>
        </w:rPr>
        <w:t xml:space="preserve">“Petroleum and petroleum products pipeline” </w:t>
      </w:r>
      <w:proofErr w:type="gramStart"/>
      <w:r>
        <w:rPr>
          <w:rFonts w:ascii="Times New Roman" w:hAnsi="Times New Roman"/>
          <w:sz w:val="24"/>
          <w:szCs w:val="24"/>
        </w:rPr>
        <w:t>means</w:t>
      </w:r>
      <w:proofErr w:type="gramEnd"/>
      <w:r>
        <w:rPr>
          <w:rFonts w:ascii="Times New Roman" w:hAnsi="Times New Roman"/>
          <w:sz w:val="24"/>
          <w:szCs w:val="24"/>
        </w:rPr>
        <w:t xml:space="preserve"> any pipeline as defined in the Petroleum and Natural Gas Regulatory Board (Authorizing Entities to Lay, Build, Operate or Expand Petroleum and Petroleum Products Pipelines) Regulations, 2010;</w:t>
      </w:r>
    </w:p>
    <w:p w14:paraId="3BA75409" w14:textId="77777777" w:rsidR="00875A1E" w:rsidRDefault="00875A1E" w:rsidP="00875A1E">
      <w:pPr>
        <w:numPr>
          <w:ilvl w:val="0"/>
          <w:numId w:val="3"/>
        </w:numPr>
        <w:ind w:left="1418"/>
        <w:jc w:val="both"/>
        <w:rPr>
          <w:rFonts w:ascii="Times New Roman" w:hAnsi="Times New Roman"/>
          <w:sz w:val="24"/>
          <w:szCs w:val="24"/>
        </w:rPr>
      </w:pPr>
      <w:r>
        <w:rPr>
          <w:rFonts w:ascii="Times New Roman" w:hAnsi="Times New Roman"/>
          <w:sz w:val="24"/>
          <w:szCs w:val="24"/>
        </w:rPr>
        <w:t xml:space="preserve"> “Petroleum and Petroleum products Pipeline transportation tariff” means the unit rate of tariff for petroleum and petroleum products pipeline (excluding statutory taxes and levies) in rupees per metric ton or in rupees per kilo liter per kilo meter for transport of petroleum and petroleum products including the impact of storage facilities essential for operating a petroleum and petroleum products pipeline system as common or contract carrier;</w:t>
      </w:r>
    </w:p>
    <w:p w14:paraId="1D4FC319" w14:textId="49B08CC2" w:rsidR="00875A1E" w:rsidRDefault="00875A1E" w:rsidP="00875A1E">
      <w:pPr>
        <w:numPr>
          <w:ilvl w:val="0"/>
          <w:numId w:val="3"/>
        </w:numPr>
        <w:ind w:left="1418"/>
        <w:jc w:val="both"/>
        <w:rPr>
          <w:rFonts w:ascii="Times New Roman" w:hAnsi="Times New Roman"/>
          <w:sz w:val="24"/>
          <w:szCs w:val="24"/>
        </w:rPr>
      </w:pPr>
      <w:r>
        <w:rPr>
          <w:rFonts w:ascii="Times New Roman" w:hAnsi="Times New Roman"/>
          <w:sz w:val="24"/>
          <w:szCs w:val="24"/>
        </w:rPr>
        <w:t>“tap off point (TOP)” means a facility on the pipeline from where the petroleum products are diverted into a delivery terminal or into a spur line or another pipeline which may also be called the intermediate delivery station.</w:t>
      </w:r>
    </w:p>
    <w:p w14:paraId="17FC6A28" w14:textId="77777777" w:rsidR="00875A1E" w:rsidRDefault="00875A1E" w:rsidP="00875A1E">
      <w:pPr>
        <w:numPr>
          <w:ilvl w:val="0"/>
          <w:numId w:val="4"/>
        </w:numPr>
        <w:ind w:left="1134"/>
        <w:jc w:val="both"/>
        <w:rPr>
          <w:rFonts w:ascii="Times New Roman" w:hAnsi="Times New Roman"/>
          <w:sz w:val="24"/>
          <w:szCs w:val="24"/>
        </w:rPr>
      </w:pPr>
      <w:r>
        <w:rPr>
          <w:rFonts w:ascii="Times New Roman" w:hAnsi="Times New Roman"/>
          <w:sz w:val="24"/>
          <w:szCs w:val="24"/>
        </w:rPr>
        <w:lastRenderedPageBreak/>
        <w:t>Words and expressions used and not defined in these regulations, but defined in the Act or in the rules or regulations made thereunder, shall have the meanings respectively assigned to them in the Act or in the rules or regulations, as the case may be.</w:t>
      </w:r>
    </w:p>
    <w:p w14:paraId="49812C5D" w14:textId="232A9388" w:rsidR="00875A1E" w:rsidRPr="00947138" w:rsidRDefault="00875A1E" w:rsidP="00947138">
      <w:pPr>
        <w:pStyle w:val="ListParagraph"/>
        <w:numPr>
          <w:ilvl w:val="0"/>
          <w:numId w:val="6"/>
        </w:numPr>
        <w:jc w:val="both"/>
        <w:rPr>
          <w:rFonts w:ascii="Times New Roman" w:hAnsi="Times New Roman"/>
          <w:b/>
          <w:sz w:val="24"/>
          <w:szCs w:val="24"/>
        </w:rPr>
      </w:pPr>
      <w:r w:rsidRPr="00947138">
        <w:rPr>
          <w:rFonts w:ascii="Times New Roman" w:hAnsi="Times New Roman"/>
          <w:b/>
          <w:sz w:val="24"/>
          <w:szCs w:val="24"/>
        </w:rPr>
        <w:t>Application</w:t>
      </w:r>
    </w:p>
    <w:p w14:paraId="7B8FCF96" w14:textId="77777777" w:rsidR="00875A1E" w:rsidRDefault="00875A1E" w:rsidP="00875A1E">
      <w:pPr>
        <w:ind w:left="851"/>
        <w:jc w:val="both"/>
        <w:rPr>
          <w:rFonts w:ascii="Times New Roman" w:hAnsi="Times New Roman"/>
          <w:sz w:val="24"/>
          <w:szCs w:val="24"/>
        </w:rPr>
      </w:pPr>
      <w:r>
        <w:rPr>
          <w:rFonts w:ascii="Times New Roman" w:hAnsi="Times New Roman"/>
          <w:sz w:val="24"/>
          <w:szCs w:val="24"/>
        </w:rPr>
        <w:t>These regulations shall apply to an entity----</w:t>
      </w:r>
    </w:p>
    <w:p w14:paraId="571BAB98" w14:textId="77777777" w:rsidR="00875A1E" w:rsidRDefault="00875A1E" w:rsidP="00875A1E">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authorized by the Central Government and accepted by the Board for laying, building, operating or expanding a petroleum and petroleum products pipeline before the appointed day under the relevant regulations for authorizing entities to lay, build, operate or expand petroleum and petroleum product pipelines;</w:t>
      </w:r>
    </w:p>
    <w:p w14:paraId="5B92DB08" w14:textId="77777777" w:rsidR="00875A1E" w:rsidRDefault="00875A1E" w:rsidP="00875A1E">
      <w:pPr>
        <w:pStyle w:val="ListParagraph"/>
        <w:ind w:left="1560"/>
        <w:jc w:val="both"/>
        <w:rPr>
          <w:rFonts w:ascii="Times New Roman" w:hAnsi="Times New Roman"/>
          <w:sz w:val="24"/>
          <w:szCs w:val="24"/>
        </w:rPr>
      </w:pPr>
    </w:p>
    <w:p w14:paraId="76B7AB62" w14:textId="77777777" w:rsidR="00875A1E" w:rsidRDefault="00875A1E" w:rsidP="00875A1E">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laying building, operating or expanding a petroleum and petroleum products pipeline before the appointed day and authorized by the Board for such activities under the relevant regulations for authorizing entities to lay, build, operate or expand petroleum and petroleum product pipelines; and</w:t>
      </w:r>
    </w:p>
    <w:p w14:paraId="7F36BCD1" w14:textId="77777777" w:rsidR="00875A1E" w:rsidRPr="00875A1E" w:rsidRDefault="00875A1E" w:rsidP="00875A1E">
      <w:pPr>
        <w:pStyle w:val="ListParagraph"/>
        <w:rPr>
          <w:rFonts w:ascii="Times New Roman" w:hAnsi="Times New Roman"/>
          <w:sz w:val="24"/>
          <w:szCs w:val="24"/>
        </w:rPr>
      </w:pPr>
    </w:p>
    <w:p w14:paraId="1849447D" w14:textId="7CA23AD3" w:rsidR="004E16E3" w:rsidRPr="00875A1E" w:rsidRDefault="00875A1E" w:rsidP="00875A1E">
      <w:pPr>
        <w:pStyle w:val="ListParagraph"/>
        <w:numPr>
          <w:ilvl w:val="0"/>
          <w:numId w:val="1"/>
        </w:numPr>
        <w:ind w:left="1560"/>
        <w:jc w:val="both"/>
        <w:rPr>
          <w:rFonts w:ascii="Times New Roman" w:hAnsi="Times New Roman"/>
          <w:sz w:val="24"/>
          <w:szCs w:val="24"/>
        </w:rPr>
      </w:pPr>
      <w:r w:rsidRPr="00875A1E">
        <w:rPr>
          <w:rFonts w:ascii="Times New Roman" w:hAnsi="Times New Roman"/>
          <w:sz w:val="24"/>
          <w:szCs w:val="24"/>
        </w:rPr>
        <w:t>laying, building, operating or expanding a dedicated pipeline which is converted into a petroleum and petroleum products pipeline under the provisions of the relevant regulations for authorizing entities to lay, build, operate or expand petroleum and petroleum products pipeline</w:t>
      </w:r>
      <w:r w:rsidR="004E16E3" w:rsidRPr="00875A1E">
        <w:rPr>
          <w:rFonts w:ascii="Times New Roman" w:hAnsi="Times New Roman"/>
          <w:sz w:val="24"/>
          <w:szCs w:val="24"/>
        </w:rPr>
        <w:t>.</w:t>
      </w:r>
    </w:p>
    <w:p w14:paraId="4DD52A01" w14:textId="77777777" w:rsidR="004E16E3" w:rsidRDefault="004E16E3" w:rsidP="004E16E3">
      <w:pPr>
        <w:pStyle w:val="ListParagraph"/>
        <w:ind w:left="1560"/>
        <w:jc w:val="both"/>
        <w:rPr>
          <w:rFonts w:ascii="Times New Roman" w:hAnsi="Times New Roman"/>
          <w:sz w:val="24"/>
          <w:szCs w:val="24"/>
        </w:rPr>
      </w:pPr>
    </w:p>
    <w:p w14:paraId="05B943DB" w14:textId="6C496764" w:rsidR="004E16E3" w:rsidRPr="00947138" w:rsidRDefault="004E16E3" w:rsidP="00947138">
      <w:pPr>
        <w:pStyle w:val="ListParagraph"/>
        <w:numPr>
          <w:ilvl w:val="0"/>
          <w:numId w:val="6"/>
        </w:numPr>
        <w:spacing w:before="240" w:after="0"/>
        <w:jc w:val="both"/>
        <w:rPr>
          <w:rFonts w:ascii="Times New Roman" w:hAnsi="Times New Roman"/>
          <w:b/>
          <w:sz w:val="24"/>
          <w:szCs w:val="24"/>
        </w:rPr>
      </w:pPr>
      <w:r w:rsidRPr="00947138">
        <w:rPr>
          <w:rFonts w:ascii="Times New Roman" w:hAnsi="Times New Roman"/>
          <w:b/>
          <w:sz w:val="24"/>
          <w:szCs w:val="24"/>
        </w:rPr>
        <w:t>Determination of petroleum and petroleum products pipeline transportation tariff</w:t>
      </w:r>
    </w:p>
    <w:p w14:paraId="2F6CD3B8" w14:textId="77777777" w:rsidR="004E16E3" w:rsidRDefault="004E16E3" w:rsidP="004E16E3">
      <w:pPr>
        <w:pStyle w:val="ListParagraph"/>
        <w:spacing w:before="240" w:after="0"/>
        <w:ind w:left="360"/>
        <w:jc w:val="both"/>
        <w:rPr>
          <w:rFonts w:ascii="Times New Roman" w:hAnsi="Times New Roman"/>
          <w:b/>
          <w:sz w:val="24"/>
          <w:szCs w:val="24"/>
        </w:rPr>
      </w:pPr>
    </w:p>
    <w:p w14:paraId="7D03054B" w14:textId="77777777" w:rsidR="004E16E3" w:rsidRDefault="004E16E3" w:rsidP="004E16E3">
      <w:pPr>
        <w:pStyle w:val="ListParagraph"/>
        <w:spacing w:before="240" w:after="0"/>
        <w:ind w:left="993"/>
        <w:jc w:val="both"/>
        <w:rPr>
          <w:rFonts w:ascii="Times New Roman" w:hAnsi="Times New Roman"/>
          <w:sz w:val="24"/>
          <w:szCs w:val="24"/>
        </w:rPr>
      </w:pPr>
      <w:r>
        <w:rPr>
          <w:rFonts w:ascii="Times New Roman" w:hAnsi="Times New Roman"/>
          <w:sz w:val="24"/>
          <w:szCs w:val="24"/>
        </w:rPr>
        <w:t>Petroleum and petroleum products pipeline tariff in respect of any entity covered under clause (1), clause (2) or clause (3) of regulation 3 shall be determined for different TOP’s as per the procedure specified in regulation 5 which shall be charged on a non-discriminatory basis:</w:t>
      </w:r>
    </w:p>
    <w:p w14:paraId="77EF0B13" w14:textId="77777777" w:rsidR="004E16E3" w:rsidRDefault="004E16E3" w:rsidP="004E16E3">
      <w:pPr>
        <w:pStyle w:val="ListParagraph"/>
        <w:ind w:left="993"/>
        <w:jc w:val="both"/>
        <w:rPr>
          <w:rFonts w:ascii="Times New Roman" w:hAnsi="Times New Roman"/>
          <w:sz w:val="24"/>
          <w:szCs w:val="24"/>
        </w:rPr>
      </w:pPr>
      <w:r>
        <w:rPr>
          <w:rFonts w:ascii="Times New Roman" w:hAnsi="Times New Roman"/>
          <w:sz w:val="24"/>
          <w:szCs w:val="24"/>
        </w:rPr>
        <w:t xml:space="preserve">           </w:t>
      </w:r>
    </w:p>
    <w:p w14:paraId="2888C96C" w14:textId="224B8C58" w:rsidR="004E16E3" w:rsidRDefault="004E16E3" w:rsidP="004E16E3">
      <w:pPr>
        <w:pStyle w:val="ListParagraph"/>
        <w:ind w:left="993" w:firstLine="447"/>
        <w:jc w:val="both"/>
        <w:rPr>
          <w:rFonts w:ascii="Times New Roman" w:hAnsi="Times New Roman"/>
          <w:sz w:val="24"/>
          <w:szCs w:val="24"/>
        </w:rPr>
      </w:pPr>
      <w:r>
        <w:rPr>
          <w:rFonts w:ascii="Times New Roman" w:hAnsi="Times New Roman"/>
          <w:sz w:val="24"/>
          <w:szCs w:val="24"/>
        </w:rPr>
        <w:t>Provided that the petroleum and petroleum product pipeline tariff determined in accordance with the procedure specified as per regulation 5 shall be applicable as</w:t>
      </w:r>
      <w:r w:rsidR="00947138">
        <w:rPr>
          <w:rFonts w:ascii="Times New Roman" w:hAnsi="Times New Roman"/>
          <w:sz w:val="24"/>
          <w:szCs w:val="24"/>
        </w:rPr>
        <w:t xml:space="preserve"> a transitional</w:t>
      </w:r>
      <w:r>
        <w:rPr>
          <w:rFonts w:ascii="Times New Roman" w:hAnsi="Times New Roman"/>
          <w:sz w:val="24"/>
          <w:szCs w:val="24"/>
        </w:rPr>
        <w:t xml:space="preserve"> measure for a period of two years or such earlier time as the Board may </w:t>
      </w:r>
      <w:r w:rsidR="00947138">
        <w:rPr>
          <w:rFonts w:ascii="Times New Roman" w:hAnsi="Times New Roman"/>
          <w:sz w:val="24"/>
          <w:szCs w:val="24"/>
        </w:rPr>
        <w:t>decide</w:t>
      </w:r>
      <w:r>
        <w:rPr>
          <w:rFonts w:ascii="Times New Roman" w:hAnsi="Times New Roman"/>
          <w:sz w:val="24"/>
          <w:szCs w:val="24"/>
        </w:rPr>
        <w:t xml:space="preserve"> for valid reasons to be given in writing.</w:t>
      </w:r>
    </w:p>
    <w:p w14:paraId="22A3EEE8" w14:textId="77777777" w:rsidR="004E16E3" w:rsidRDefault="004E16E3" w:rsidP="004E16E3">
      <w:pPr>
        <w:pStyle w:val="ListParagraph"/>
        <w:ind w:left="993" w:firstLine="447"/>
        <w:jc w:val="both"/>
        <w:rPr>
          <w:rFonts w:ascii="Times New Roman" w:hAnsi="Times New Roman"/>
          <w:sz w:val="24"/>
          <w:szCs w:val="24"/>
        </w:rPr>
      </w:pPr>
    </w:p>
    <w:p w14:paraId="0610F661" w14:textId="77777777" w:rsidR="004E16E3" w:rsidRDefault="004E16E3" w:rsidP="004E16E3">
      <w:pPr>
        <w:pStyle w:val="ListParagraph"/>
        <w:ind w:left="993" w:firstLine="447"/>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[Provided further that the transitional period may be extended for another two years or lesser period as the Board may decide for valid reasons to be given in writing.]</w:t>
      </w:r>
    </w:p>
    <w:p w14:paraId="53C88E46" w14:textId="77777777" w:rsidR="004E16E3" w:rsidRDefault="004E16E3" w:rsidP="004E16E3">
      <w:pPr>
        <w:ind w:left="720" w:firstLine="294"/>
        <w:jc w:val="both"/>
        <w:rPr>
          <w:rFonts w:ascii="Times New Roman" w:hAnsi="Times New Roman"/>
          <w:sz w:val="24"/>
          <w:szCs w:val="24"/>
        </w:rPr>
      </w:pPr>
      <w:r>
        <w:rPr>
          <w:rStyle w:val="FootnoteReference"/>
          <w:rFonts w:ascii="Times New Roman" w:hAnsi="Times New Roman"/>
          <w:sz w:val="24"/>
          <w:szCs w:val="24"/>
        </w:rPr>
        <w:lastRenderedPageBreak/>
        <w:footnoteReference w:id="2"/>
      </w:r>
      <w:r>
        <w:rPr>
          <w:rFonts w:ascii="Times New Roman" w:hAnsi="Times New Roman"/>
          <w:sz w:val="24"/>
          <w:szCs w:val="24"/>
        </w:rPr>
        <w:t>[Provid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also</w:t>
      </w:r>
      <w:r>
        <w:rPr>
          <w:rFonts w:ascii="Times New Roman" w:hAnsi="Times New Roman"/>
          <w:spacing w:val="19"/>
          <w:sz w:val="24"/>
          <w:szCs w:val="24"/>
        </w:rPr>
        <w:t xml:space="preserve"> </w:t>
      </w:r>
      <w:r>
        <w:rPr>
          <w:rFonts w:ascii="Times New Roman" w:hAnsi="Times New Roman"/>
          <w:sz w:val="24"/>
          <w:szCs w:val="24"/>
        </w:rPr>
        <w:t>that</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transitio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19"/>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9"/>
          <w:sz w:val="24"/>
          <w:szCs w:val="24"/>
        </w:rPr>
        <w:t xml:space="preserve"> </w:t>
      </w:r>
      <w:r>
        <w:rPr>
          <w:rFonts w:ascii="Times New Roman" w:hAnsi="Times New Roman"/>
          <w:sz w:val="24"/>
          <w:szCs w:val="24"/>
        </w:rPr>
        <w:t>may,</w:t>
      </w:r>
      <w:r>
        <w:rPr>
          <w:rFonts w:ascii="Times New Roman" w:hAnsi="Times New Roman"/>
          <w:spacing w:val="19"/>
          <w:sz w:val="24"/>
          <w:szCs w:val="24"/>
        </w:rPr>
        <w:t xml:space="preserve"> </w:t>
      </w:r>
      <w:r>
        <w:rPr>
          <w:rFonts w:ascii="Times New Roman" w:hAnsi="Times New Roman"/>
          <w:sz w:val="24"/>
          <w:szCs w:val="24"/>
        </w:rPr>
        <w:t>aft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complet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extend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sition</w:t>
      </w:r>
      <w:r>
        <w:rPr>
          <w:rFonts w:ascii="Times New Roman" w:hAnsi="Times New Roman"/>
          <w:spacing w:val="19"/>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f two years, be</w:t>
      </w:r>
      <w:r>
        <w:rPr>
          <w:rFonts w:ascii="Times New Roman" w:hAnsi="Times New Roman"/>
          <w:spacing w:val="-1"/>
          <w:sz w:val="24"/>
          <w:szCs w:val="24"/>
        </w:rPr>
        <w:t xml:space="preserve"> </w:t>
      </w:r>
      <w:r>
        <w:rPr>
          <w:rFonts w:ascii="Times New Roman" w:hAnsi="Times New Roman"/>
          <w:sz w:val="24"/>
          <w:szCs w:val="24"/>
        </w:rPr>
        <w:t>further exte</w:t>
      </w:r>
      <w:r>
        <w:rPr>
          <w:rFonts w:ascii="Times New Roman" w:hAnsi="Times New Roman"/>
          <w:spacing w:val="-1"/>
          <w:sz w:val="24"/>
          <w:szCs w:val="24"/>
        </w:rPr>
        <w:t>n</w:t>
      </w:r>
      <w:r>
        <w:rPr>
          <w:rFonts w:ascii="Times New Roman" w:hAnsi="Times New Roman"/>
          <w:sz w:val="24"/>
          <w:szCs w:val="24"/>
        </w:rPr>
        <w:t>ded for a</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 two y</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or less</w:t>
      </w:r>
      <w:r>
        <w:rPr>
          <w:rFonts w:ascii="Times New Roman" w:hAnsi="Times New Roman"/>
          <w:spacing w:val="-1"/>
          <w:sz w:val="24"/>
          <w:szCs w:val="24"/>
        </w:rPr>
        <w:t>e</w:t>
      </w:r>
      <w:r>
        <w:rPr>
          <w:rFonts w:ascii="Times New Roman" w:hAnsi="Times New Roman"/>
          <w:sz w:val="24"/>
          <w:szCs w:val="24"/>
        </w:rPr>
        <w:t>r 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od as the B</w:t>
      </w:r>
      <w:r>
        <w:rPr>
          <w:rFonts w:ascii="Times New Roman" w:hAnsi="Times New Roman"/>
          <w:spacing w:val="-1"/>
          <w:sz w:val="24"/>
          <w:szCs w:val="24"/>
        </w:rPr>
        <w:t>o</w:t>
      </w:r>
      <w:r>
        <w:rPr>
          <w:rFonts w:ascii="Times New Roman" w:hAnsi="Times New Roman"/>
          <w:sz w:val="24"/>
          <w:szCs w:val="24"/>
        </w:rPr>
        <w:t>ard may 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de;]</w:t>
      </w:r>
    </w:p>
    <w:p w14:paraId="5007059F" w14:textId="77777777" w:rsidR="004E16E3" w:rsidRDefault="004E16E3" w:rsidP="004E16E3">
      <w:pPr>
        <w:ind w:left="720" w:firstLine="294"/>
        <w:jc w:val="both"/>
        <w:rPr>
          <w:rFonts w:ascii="Times New Roman" w:hAnsi="Times New Roman"/>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sidRPr="00CB0201">
        <w:rPr>
          <w:rFonts w:ascii="Times New Roman" w:hAnsi="Times New Roman"/>
          <w:sz w:val="24"/>
          <w:szCs w:val="24"/>
        </w:rPr>
        <w:t>Provided also that the transitional period may, after the completion of the extended transition period of two years, be further extended for another one year   or lesser period as the Board may decide.</w:t>
      </w:r>
      <w:r>
        <w:rPr>
          <w:rFonts w:ascii="Times New Roman" w:hAnsi="Times New Roman"/>
          <w:sz w:val="24"/>
          <w:szCs w:val="24"/>
        </w:rPr>
        <w:t>]</w:t>
      </w:r>
    </w:p>
    <w:p w14:paraId="386F77B5" w14:textId="77777777" w:rsidR="004E16E3" w:rsidRDefault="004E16E3" w:rsidP="004E16E3">
      <w:pPr>
        <w:ind w:left="720" w:firstLine="294"/>
        <w:jc w:val="both"/>
        <w:rPr>
          <w:rFonts w:ascii="Times New Roman" w:hAnsi="Times New Roman"/>
          <w:sz w:val="24"/>
          <w:szCs w:val="24"/>
        </w:rPr>
      </w:pPr>
      <w:r>
        <w:rPr>
          <w:rStyle w:val="FootnoteReference"/>
          <w:rFonts w:ascii="Times New Roman" w:hAnsi="Times New Roman"/>
          <w:sz w:val="24"/>
          <w:szCs w:val="24"/>
        </w:rPr>
        <w:footnoteReference w:id="4"/>
      </w:r>
      <w:r>
        <w:rPr>
          <w:rFonts w:ascii="Times New Roman" w:hAnsi="Times New Roman"/>
          <w:sz w:val="24"/>
          <w:szCs w:val="24"/>
        </w:rPr>
        <w:t>[</w:t>
      </w:r>
      <w:r w:rsidRPr="0073414C">
        <w:rPr>
          <w:rFonts w:ascii="Times New Roman" w:hAnsi="Times New Roman"/>
          <w:sz w:val="24"/>
          <w:szCs w:val="24"/>
        </w:rPr>
        <w:t>Provided also that the transitional period may, after the completion of the extended transition period of one year, be further extended up to 19.12.2018 or any other period as the Board may decide.</w:t>
      </w:r>
      <w:r>
        <w:rPr>
          <w:rFonts w:ascii="Times New Roman" w:hAnsi="Times New Roman"/>
          <w:sz w:val="24"/>
          <w:szCs w:val="24"/>
        </w:rPr>
        <w:t>]</w:t>
      </w:r>
    </w:p>
    <w:p w14:paraId="27503784" w14:textId="04A43A7C" w:rsidR="004E16E3" w:rsidRDefault="004E16E3" w:rsidP="004E16E3">
      <w:pPr>
        <w:ind w:left="720" w:firstLine="294"/>
        <w:jc w:val="both"/>
        <w:rPr>
          <w:rFonts w:ascii="Times New Roman" w:hAnsi="Times New Roman"/>
          <w:bCs/>
          <w:sz w:val="24"/>
          <w:szCs w:val="24"/>
        </w:rPr>
      </w:pPr>
      <w:r>
        <w:rPr>
          <w:rStyle w:val="FootnoteReference"/>
          <w:rFonts w:ascii="Times New Roman" w:hAnsi="Times New Roman"/>
          <w:bCs/>
          <w:sz w:val="24"/>
          <w:szCs w:val="24"/>
        </w:rPr>
        <w:footnoteReference w:id="5"/>
      </w:r>
      <w:r w:rsidRPr="00731F05">
        <w:rPr>
          <w:rFonts w:ascii="Times New Roman" w:hAnsi="Times New Roman"/>
          <w:bCs/>
          <w:sz w:val="24"/>
          <w:szCs w:val="24"/>
        </w:rPr>
        <w:t>[Provided also that the transitional period may, after the completion of the extended transition period of one year, be further extended up to 31.03.2019.]</w:t>
      </w:r>
    </w:p>
    <w:p w14:paraId="2B64507C" w14:textId="0B4008B8" w:rsidR="004E16E3" w:rsidRPr="00731F05" w:rsidRDefault="004E16E3" w:rsidP="004E16E3">
      <w:pPr>
        <w:ind w:left="720" w:firstLine="294"/>
        <w:jc w:val="both"/>
        <w:rPr>
          <w:rFonts w:ascii="Times New Roman" w:hAnsi="Times New Roman"/>
          <w:bCs/>
          <w:sz w:val="24"/>
          <w:szCs w:val="24"/>
        </w:rPr>
      </w:pPr>
      <w:r>
        <w:rPr>
          <w:rStyle w:val="FootnoteReference"/>
          <w:rFonts w:ascii="Times New Roman" w:hAnsi="Times New Roman"/>
          <w:bCs/>
          <w:sz w:val="24"/>
          <w:szCs w:val="24"/>
        </w:rPr>
        <w:footnoteReference w:id="6"/>
      </w:r>
      <w:r>
        <w:rPr>
          <w:rFonts w:ascii="Times New Roman" w:hAnsi="Times New Roman"/>
          <w:bCs/>
          <w:sz w:val="24"/>
          <w:szCs w:val="24"/>
        </w:rPr>
        <w:t>[</w:t>
      </w:r>
      <w:r w:rsidRPr="004E16E3">
        <w:rPr>
          <w:rFonts w:ascii="Times New Roman" w:hAnsi="Times New Roman"/>
          <w:bCs/>
          <w:sz w:val="24"/>
          <w:szCs w:val="24"/>
        </w:rPr>
        <w:t>Provided also that the transitional period may, after the completion of the extended transition period till 31.03.2019, be further extended up to 31.12.2019.</w:t>
      </w:r>
      <w:r>
        <w:rPr>
          <w:rFonts w:ascii="Times New Roman" w:hAnsi="Times New Roman"/>
          <w:bCs/>
          <w:sz w:val="24"/>
          <w:szCs w:val="24"/>
        </w:rPr>
        <w:t>]</w:t>
      </w:r>
    </w:p>
    <w:p w14:paraId="4B6E97D9" w14:textId="2C73A7DE" w:rsidR="004E16E3" w:rsidRPr="00947138" w:rsidRDefault="004E16E3" w:rsidP="00947138">
      <w:pPr>
        <w:pStyle w:val="ListParagraph"/>
        <w:numPr>
          <w:ilvl w:val="0"/>
          <w:numId w:val="6"/>
        </w:numPr>
        <w:jc w:val="both"/>
        <w:rPr>
          <w:rFonts w:ascii="Times New Roman" w:hAnsi="Times New Roman"/>
          <w:b/>
          <w:sz w:val="24"/>
          <w:szCs w:val="24"/>
        </w:rPr>
      </w:pPr>
      <w:r w:rsidRPr="00947138">
        <w:rPr>
          <w:rFonts w:ascii="Times New Roman" w:hAnsi="Times New Roman"/>
          <w:b/>
          <w:sz w:val="24"/>
          <w:szCs w:val="24"/>
        </w:rPr>
        <w:t>Procedure for determination of petroleum and petroleum products pipeline transportation tariff</w:t>
      </w:r>
    </w:p>
    <w:p w14:paraId="6CC431F3" w14:textId="77777777" w:rsidR="004E16E3" w:rsidRDefault="004E16E3" w:rsidP="004E16E3">
      <w:pPr>
        <w:ind w:left="993"/>
        <w:jc w:val="both"/>
        <w:rPr>
          <w:rFonts w:ascii="Times New Roman" w:hAnsi="Times New Roman"/>
          <w:sz w:val="24"/>
          <w:szCs w:val="24"/>
        </w:rPr>
      </w:pPr>
      <w:r>
        <w:rPr>
          <w:rFonts w:ascii="Times New Roman" w:hAnsi="Times New Roman"/>
          <w:sz w:val="24"/>
          <w:szCs w:val="24"/>
        </w:rPr>
        <w:t>Petroleum and petroleum products pipeline transportation tariff shall be determined by benchmarking against alternate mode of transport, that is, rail at a level of seventy-five per cent except LPG where it will be one hundred per cent on a train load basis for equivalent rail distance along the petroleum and petroleum product pipeline route.</w:t>
      </w:r>
    </w:p>
    <w:p w14:paraId="3DBD3A7A" w14:textId="77777777" w:rsidR="004E16E3" w:rsidRDefault="004E16E3" w:rsidP="004E16E3">
      <w:pPr>
        <w:ind w:left="993" w:firstLine="447"/>
        <w:jc w:val="both"/>
        <w:rPr>
          <w:rFonts w:ascii="Times New Roman" w:hAnsi="Times New Roman"/>
          <w:sz w:val="24"/>
          <w:szCs w:val="24"/>
        </w:rPr>
      </w:pPr>
      <w:r>
        <w:rPr>
          <w:rStyle w:val="FootnoteReference"/>
          <w:rFonts w:ascii="Times New Roman" w:hAnsi="Times New Roman"/>
          <w:sz w:val="24"/>
          <w:szCs w:val="24"/>
        </w:rPr>
        <w:footnoteReference w:id="7"/>
      </w:r>
      <w:r>
        <w:rPr>
          <w:rFonts w:ascii="Times New Roman" w:hAnsi="Times New Roman"/>
          <w:sz w:val="24"/>
          <w:szCs w:val="24"/>
        </w:rPr>
        <w:t>[Provided that the determination of the petroleum and petroleum product pipeline transportation tariff shall be benchmarked against the goods tariff table of the railways as applicable on the date of the commencement of the Petroleum and Natural Gas Regulatory Board (Determination of Petroleum and Petroleum Products Pipeline Transportation Tariff) Amendment Regulations, 2012 which shall be frozen during the extended period of transition.]</w:t>
      </w:r>
    </w:p>
    <w:p w14:paraId="1F793642" w14:textId="77777777" w:rsidR="004E16E3" w:rsidRDefault="004E16E3" w:rsidP="004E16E3">
      <w:pPr>
        <w:ind w:left="993" w:firstLine="447"/>
        <w:jc w:val="both"/>
        <w:rPr>
          <w:rFonts w:ascii="Times New Roman" w:hAnsi="Times New Roman"/>
          <w:sz w:val="24"/>
          <w:szCs w:val="24"/>
        </w:rPr>
      </w:pPr>
      <w:r>
        <w:rPr>
          <w:rStyle w:val="FootnoteReference"/>
          <w:rFonts w:ascii="Times New Roman" w:hAnsi="Times New Roman"/>
          <w:sz w:val="24"/>
          <w:szCs w:val="24"/>
        </w:rPr>
        <w:lastRenderedPageBreak/>
        <w:footnoteReference w:id="8"/>
      </w:r>
      <w:r>
        <w:rPr>
          <w:rFonts w:ascii="Times New Roman" w:hAnsi="Times New Roman"/>
          <w:sz w:val="24"/>
          <w:szCs w:val="24"/>
        </w:rPr>
        <w:t>[Provid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fur</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the determ</w:t>
      </w:r>
      <w:r>
        <w:rPr>
          <w:rFonts w:ascii="Times New Roman" w:hAnsi="Times New Roman"/>
          <w:spacing w:val="-2"/>
          <w:sz w:val="24"/>
          <w:szCs w:val="24"/>
        </w:rPr>
        <w:t>i</w:t>
      </w:r>
      <w:r>
        <w:rPr>
          <w:rFonts w:ascii="Times New Roman" w:hAnsi="Times New Roman"/>
          <w:sz w:val="24"/>
          <w:szCs w:val="24"/>
        </w:rPr>
        <w:t>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prod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z w:val="24"/>
          <w:szCs w:val="24"/>
        </w:rPr>
        <w:t>pipeli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transportati</w:t>
      </w:r>
      <w:r>
        <w:rPr>
          <w:rFonts w:ascii="Times New Roman" w:hAnsi="Times New Roman"/>
          <w:spacing w:val="-1"/>
          <w:sz w:val="24"/>
          <w:szCs w:val="24"/>
        </w:rPr>
        <w:t>o</w:t>
      </w:r>
      <w:r>
        <w:rPr>
          <w:rFonts w:ascii="Times New Roman" w:hAnsi="Times New Roman"/>
          <w:sz w:val="24"/>
          <w:szCs w:val="24"/>
        </w:rPr>
        <w:t>n tariff</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n</w:t>
      </w:r>
      <w:r>
        <w:rPr>
          <w:rFonts w:ascii="Times New Roman" w:hAnsi="Times New Roman"/>
          <w:sz w:val="24"/>
          <w:szCs w:val="24"/>
        </w:rPr>
        <w:t>chm</w:t>
      </w:r>
      <w:r>
        <w:rPr>
          <w:rFonts w:ascii="Times New Roman" w:hAnsi="Times New Roman"/>
          <w:spacing w:val="-1"/>
          <w:sz w:val="24"/>
          <w:szCs w:val="24"/>
        </w:rPr>
        <w:t>a</w:t>
      </w:r>
      <w:r>
        <w:rPr>
          <w:rFonts w:ascii="Times New Roman" w:hAnsi="Times New Roman"/>
          <w:sz w:val="24"/>
          <w:szCs w:val="24"/>
        </w:rPr>
        <w:t>rked against</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goo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tariff</w:t>
      </w:r>
      <w:r>
        <w:rPr>
          <w:rFonts w:ascii="Times New Roman" w:hAnsi="Times New Roman"/>
          <w:spacing w:val="1"/>
          <w:sz w:val="24"/>
          <w:szCs w:val="24"/>
        </w:rPr>
        <w:t xml:space="preserve"> </w:t>
      </w:r>
      <w:r>
        <w:rPr>
          <w:rFonts w:ascii="Times New Roman" w:hAnsi="Times New Roman"/>
          <w:sz w:val="24"/>
          <w:szCs w:val="24"/>
        </w:rPr>
        <w:t>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railways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date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min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 Na</w:t>
      </w:r>
      <w:r>
        <w:rPr>
          <w:rFonts w:ascii="Times New Roman" w:hAnsi="Times New Roman"/>
          <w:spacing w:val="-1"/>
          <w:sz w:val="24"/>
          <w:szCs w:val="24"/>
        </w:rPr>
        <w:t>tu</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as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to</w:t>
      </w:r>
      <w:r>
        <w:rPr>
          <w:rFonts w:ascii="Times New Roman" w:hAnsi="Times New Roman"/>
          <w:sz w:val="24"/>
          <w:szCs w:val="24"/>
        </w:rPr>
        <w:t xml:space="preserve">ry </w:t>
      </w:r>
      <w:r>
        <w:rPr>
          <w:rFonts w:ascii="Times New Roman" w:hAnsi="Times New Roman"/>
          <w:spacing w:val="-1"/>
          <w:sz w:val="24"/>
          <w:szCs w:val="24"/>
        </w:rPr>
        <w:t>B</w:t>
      </w:r>
      <w:r>
        <w:rPr>
          <w:rFonts w:ascii="Times New Roman" w:hAnsi="Times New Roman"/>
          <w:sz w:val="24"/>
          <w:szCs w:val="24"/>
        </w:rPr>
        <w:t xml:space="preserve">oard </w:t>
      </w:r>
      <w:r>
        <w:rPr>
          <w:rFonts w:ascii="Times New Roman" w:hAnsi="Times New Roman"/>
          <w:spacing w:val="-1"/>
          <w:sz w:val="24"/>
          <w:szCs w:val="24"/>
        </w:rPr>
        <w:t>(</w:t>
      </w:r>
      <w:r>
        <w:rPr>
          <w:rFonts w:ascii="Times New Roman" w:hAnsi="Times New Roman"/>
          <w:sz w:val="24"/>
          <w:szCs w:val="24"/>
        </w:rPr>
        <w:t>Dete</w:t>
      </w:r>
      <w:r>
        <w:rPr>
          <w:rFonts w:ascii="Times New Roman" w:hAnsi="Times New Roman"/>
          <w:spacing w:val="-1"/>
          <w:sz w:val="24"/>
          <w:szCs w:val="24"/>
        </w:rPr>
        <w:t>rmi</w:t>
      </w:r>
      <w:r>
        <w:rPr>
          <w:rFonts w:ascii="Times New Roman" w:hAnsi="Times New Roman"/>
          <w:sz w:val="24"/>
          <w:szCs w:val="24"/>
        </w:rPr>
        <w:t>nat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 xml:space="preserve">m </w:t>
      </w:r>
      <w:r>
        <w:rPr>
          <w:rFonts w:ascii="Times New Roman" w:hAnsi="Times New Roman"/>
          <w:spacing w:val="-1"/>
          <w:sz w:val="24"/>
          <w:szCs w:val="24"/>
        </w:rPr>
        <w:t xml:space="preserve">and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Prod</w:t>
      </w:r>
      <w:r>
        <w:rPr>
          <w:rFonts w:ascii="Times New Roman" w:hAnsi="Times New Roman"/>
          <w:spacing w:val="-1"/>
          <w:sz w:val="24"/>
          <w:szCs w:val="24"/>
        </w:rPr>
        <w:t>u</w:t>
      </w:r>
      <w:r>
        <w:rPr>
          <w:rFonts w:ascii="Times New Roman" w:hAnsi="Times New Roman"/>
          <w:sz w:val="24"/>
          <w:szCs w:val="24"/>
        </w:rPr>
        <w:t>cts</w:t>
      </w:r>
      <w:r>
        <w:rPr>
          <w:rFonts w:ascii="Times New Roman" w:hAnsi="Times New Roman"/>
          <w:spacing w:val="1"/>
          <w:sz w:val="24"/>
          <w:szCs w:val="24"/>
        </w:rPr>
        <w:t xml:space="preserve"> </w:t>
      </w:r>
      <w:r>
        <w:rPr>
          <w:rFonts w:ascii="Times New Roman" w:hAnsi="Times New Roman"/>
          <w:sz w:val="24"/>
          <w:szCs w:val="24"/>
        </w:rPr>
        <w:t>Pipel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2"/>
          <w:sz w:val="24"/>
          <w:szCs w:val="24"/>
        </w:rPr>
        <w:t>t</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Tariff) Amendm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ulatio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2014</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goo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tar</w:t>
      </w:r>
      <w:r>
        <w:rPr>
          <w:rFonts w:ascii="Times New Roman" w:hAnsi="Times New Roman"/>
          <w:spacing w:val="-1"/>
          <w:sz w:val="24"/>
          <w:szCs w:val="24"/>
        </w:rPr>
        <w:t>i</w:t>
      </w:r>
      <w:r>
        <w:rPr>
          <w:rFonts w:ascii="Times New Roman" w:hAnsi="Times New Roman"/>
          <w:sz w:val="24"/>
          <w:szCs w:val="24"/>
        </w:rPr>
        <w:t>ff table</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railwa</w:t>
      </w:r>
      <w:r>
        <w:rPr>
          <w:rFonts w:ascii="Times New Roman" w:hAnsi="Times New Roman"/>
          <w:spacing w:val="-2"/>
          <w:sz w:val="24"/>
          <w:szCs w:val="24"/>
        </w:rPr>
        <w:t>y</w:t>
      </w:r>
      <w:r>
        <w:rPr>
          <w:rFonts w:ascii="Times New Roman" w:hAnsi="Times New Roman"/>
          <w:sz w:val="24"/>
          <w:szCs w:val="24"/>
        </w:rPr>
        <w:t>s</w:t>
      </w:r>
      <w:r>
        <w:rPr>
          <w:rFonts w:ascii="Times New Roman" w:hAnsi="Times New Roman"/>
          <w:spacing w:val="19"/>
          <w:sz w:val="24"/>
          <w:szCs w:val="24"/>
        </w:rPr>
        <w:t xml:space="preserve"> </w:t>
      </w:r>
      <w:r>
        <w:rPr>
          <w:rFonts w:ascii="Times New Roman" w:hAnsi="Times New Roman"/>
          <w:sz w:val="24"/>
          <w:szCs w:val="24"/>
        </w:rPr>
        <w:t>is</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ised</w:t>
      </w:r>
      <w:r>
        <w:rPr>
          <w:rFonts w:ascii="Times New Roman" w:hAnsi="Times New Roman"/>
          <w:spacing w:val="19"/>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ri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further</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2"/>
          <w:sz w:val="24"/>
          <w:szCs w:val="24"/>
        </w:rPr>
        <w:t>t</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transition,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z w:val="24"/>
          <w:szCs w:val="24"/>
        </w:rPr>
        <w:t>may</w:t>
      </w:r>
      <w:r>
        <w:rPr>
          <w:rFonts w:ascii="Times New Roman" w:hAnsi="Times New Roman"/>
          <w:spacing w:val="19"/>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r and d</w:t>
      </w:r>
      <w:r>
        <w:rPr>
          <w:rFonts w:ascii="Times New Roman" w:hAnsi="Times New Roman"/>
          <w:spacing w:val="-1"/>
          <w:sz w:val="24"/>
          <w:szCs w:val="24"/>
        </w:rPr>
        <w:t>e</w:t>
      </w:r>
      <w:r>
        <w:rPr>
          <w:rFonts w:ascii="Times New Roman" w:hAnsi="Times New Roman"/>
          <w:sz w:val="24"/>
          <w:szCs w:val="24"/>
        </w:rPr>
        <w:t>cide t</w:t>
      </w:r>
      <w:r>
        <w:rPr>
          <w:rFonts w:ascii="Times New Roman" w:hAnsi="Times New Roman"/>
          <w:spacing w:val="-1"/>
          <w:sz w:val="24"/>
          <w:szCs w:val="24"/>
        </w:rPr>
        <w:t>h</w:t>
      </w:r>
      <w:r>
        <w:rPr>
          <w:rFonts w:ascii="Times New Roman" w:hAnsi="Times New Roman"/>
          <w:sz w:val="24"/>
          <w:szCs w:val="24"/>
        </w:rPr>
        <w:t>e benchm</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1"/>
          <w:sz w:val="24"/>
          <w:szCs w:val="24"/>
        </w:rPr>
        <w:t>i</w:t>
      </w:r>
      <w:r>
        <w:rPr>
          <w:rFonts w:ascii="Times New Roman" w:hAnsi="Times New Roman"/>
          <w:sz w:val="24"/>
          <w:szCs w:val="24"/>
        </w:rPr>
        <w:t xml:space="preserve">ng of the petroleum and </w:t>
      </w:r>
      <w:r>
        <w:rPr>
          <w:rFonts w:ascii="Times New Roman" w:hAnsi="Times New Roman"/>
          <w:spacing w:val="-1"/>
          <w:sz w:val="24"/>
          <w:szCs w:val="24"/>
        </w:rPr>
        <w:t>p</w:t>
      </w:r>
      <w:r>
        <w:rPr>
          <w:rFonts w:ascii="Times New Roman" w:hAnsi="Times New Roman"/>
          <w:sz w:val="24"/>
          <w:szCs w:val="24"/>
        </w:rPr>
        <w:t>etrole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w:t>
      </w:r>
      <w:r>
        <w:rPr>
          <w:rFonts w:ascii="Times New Roman" w:hAnsi="Times New Roman"/>
          <w:sz w:val="24"/>
          <w:szCs w:val="24"/>
        </w:rPr>
        <w:t>duc</w:t>
      </w:r>
      <w:r>
        <w:rPr>
          <w:rFonts w:ascii="Times New Roman" w:hAnsi="Times New Roman"/>
          <w:spacing w:val="-2"/>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sp</w:t>
      </w:r>
      <w:r>
        <w:rPr>
          <w:rFonts w:ascii="Times New Roman" w:hAnsi="Times New Roman"/>
          <w:spacing w:val="-1"/>
          <w:sz w:val="24"/>
          <w:szCs w:val="24"/>
        </w:rPr>
        <w:t>o</w:t>
      </w:r>
      <w:r>
        <w:rPr>
          <w:rFonts w:ascii="Times New Roman" w:hAnsi="Times New Roman"/>
          <w:sz w:val="24"/>
          <w:szCs w:val="24"/>
        </w:rPr>
        <w:t>rtation tariff agai</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t such re</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w:t>
      </w:r>
    </w:p>
    <w:p w14:paraId="082356F3" w14:textId="77777777" w:rsidR="004E16E3" w:rsidRDefault="004E16E3" w:rsidP="004E16E3">
      <w:pPr>
        <w:ind w:left="993" w:firstLine="447"/>
        <w:jc w:val="both"/>
        <w:rPr>
          <w:rFonts w:ascii="Times New Roman" w:hAnsi="Times New Roman"/>
          <w:sz w:val="24"/>
          <w:szCs w:val="24"/>
        </w:rPr>
      </w:pPr>
      <w:r>
        <w:rPr>
          <w:rStyle w:val="FootnoteReference"/>
          <w:rFonts w:ascii="Times New Roman" w:hAnsi="Times New Roman"/>
          <w:sz w:val="24"/>
          <w:szCs w:val="24"/>
        </w:rPr>
        <w:footnoteReference w:id="9"/>
      </w:r>
      <w:r>
        <w:rPr>
          <w:rFonts w:ascii="Times New Roman" w:hAnsi="Times New Roman"/>
          <w:sz w:val="24"/>
          <w:szCs w:val="24"/>
        </w:rPr>
        <w:t>[</w:t>
      </w:r>
      <w:r w:rsidRPr="00CB0201">
        <w:rPr>
          <w:rFonts w:ascii="Times New Roman" w:hAnsi="Times New Roman"/>
          <w:sz w:val="24"/>
          <w:szCs w:val="24"/>
        </w:rPr>
        <w:t>Provided further that the determination of the petroleum and petroleum product pipeline transportation tariff shall be benchmarked against the goods tariff table of the railways as applicable on the date of the coming into force of the Petroleum and Natural Gas Regulatory Board (Determination of Petroleum and Petroleum Products Pipeline Transportation Tariff) Amendment Regulations, 2016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4ECB5B01" w14:textId="77777777" w:rsidR="004E16E3" w:rsidRDefault="004E16E3" w:rsidP="004E16E3">
      <w:pPr>
        <w:ind w:left="993" w:firstLine="447"/>
        <w:jc w:val="both"/>
        <w:rPr>
          <w:rFonts w:ascii="Times New Roman" w:hAnsi="Times New Roman"/>
          <w:sz w:val="24"/>
          <w:szCs w:val="24"/>
        </w:rPr>
      </w:pPr>
      <w:r>
        <w:rPr>
          <w:rStyle w:val="FootnoteReference"/>
          <w:rFonts w:ascii="Times New Roman" w:hAnsi="Times New Roman"/>
          <w:sz w:val="24"/>
          <w:szCs w:val="24"/>
        </w:rPr>
        <w:footnoteReference w:id="10"/>
      </w:r>
      <w:r>
        <w:rPr>
          <w:rFonts w:ascii="Times New Roman" w:hAnsi="Times New Roman"/>
          <w:sz w:val="24"/>
          <w:szCs w:val="24"/>
        </w:rPr>
        <w:t>[</w:t>
      </w:r>
      <w:r w:rsidRPr="0073414C">
        <w:rPr>
          <w:rFonts w:ascii="Times New Roman" w:hAnsi="Times New Roman"/>
          <w:sz w:val="24"/>
          <w:szCs w:val="24"/>
        </w:rPr>
        <w:t>Provided further that the determination of the petroleum and petroleum product pipeline transportation tariff shall be benchmarked against the goods tariff table of the railways as applicable on the date of the coming into force of the Petroleum and Natural Gas Regulatory Board (Determination of Petroleum and Petroleum Products Pipeline Transportation Tariff) Amendment Regulations, 2017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6A6F0E13" w14:textId="7F872738" w:rsidR="004E16E3" w:rsidRDefault="004E16E3" w:rsidP="004E16E3">
      <w:pPr>
        <w:ind w:left="993" w:firstLine="447"/>
        <w:jc w:val="both"/>
        <w:rPr>
          <w:rFonts w:ascii="Times New Roman" w:hAnsi="Times New Roman"/>
          <w:sz w:val="24"/>
          <w:szCs w:val="24"/>
        </w:rPr>
      </w:pPr>
      <w:r>
        <w:rPr>
          <w:rStyle w:val="FootnoteReference"/>
          <w:rFonts w:ascii="Times New Roman" w:hAnsi="Times New Roman"/>
          <w:sz w:val="24"/>
          <w:szCs w:val="24"/>
        </w:rPr>
        <w:footnoteReference w:id="11"/>
      </w:r>
      <w:r>
        <w:rPr>
          <w:rFonts w:ascii="Times New Roman" w:hAnsi="Times New Roman"/>
          <w:sz w:val="24"/>
          <w:szCs w:val="24"/>
        </w:rPr>
        <w:t>[</w:t>
      </w:r>
      <w:r w:rsidRPr="00731F05">
        <w:rPr>
          <w:rFonts w:ascii="Times New Roman" w:hAnsi="Times New Roman"/>
          <w:sz w:val="24"/>
          <w:szCs w:val="24"/>
        </w:rPr>
        <w:t>Provided also that the determination of the petroleum and petroleum product pipeline transportation tariff under this regulations shall be benchmarked against the goods tariff table of the railways as applicable on the date of the coming into force of the Petroleum and Natural Gas Regulatory Board (Determination of Petroleum and Petroleum Products Pipeline Transportation Tariff) Amendment Regulations, 2018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7EF89024" w14:textId="3FD72C7E" w:rsidR="004E16E3" w:rsidRDefault="004E16E3" w:rsidP="004E16E3">
      <w:pPr>
        <w:ind w:left="993" w:firstLine="447"/>
        <w:jc w:val="both"/>
        <w:rPr>
          <w:rFonts w:ascii="Times New Roman" w:hAnsi="Times New Roman"/>
          <w:sz w:val="24"/>
          <w:szCs w:val="24"/>
        </w:rPr>
      </w:pPr>
      <w:r>
        <w:rPr>
          <w:rStyle w:val="FootnoteReference"/>
          <w:rFonts w:ascii="Times New Roman" w:hAnsi="Times New Roman"/>
          <w:sz w:val="24"/>
          <w:szCs w:val="24"/>
        </w:rPr>
        <w:lastRenderedPageBreak/>
        <w:footnoteReference w:id="12"/>
      </w:r>
      <w:r>
        <w:rPr>
          <w:rFonts w:ascii="Times New Roman" w:hAnsi="Times New Roman"/>
          <w:sz w:val="24"/>
          <w:szCs w:val="24"/>
        </w:rPr>
        <w:t>[</w:t>
      </w:r>
      <w:r w:rsidRPr="004E16E3">
        <w:rPr>
          <w:rFonts w:ascii="Times New Roman" w:hAnsi="Times New Roman"/>
          <w:sz w:val="24"/>
          <w:szCs w:val="24"/>
        </w:rPr>
        <w:t>Provided also that the determination of the petroleum and petroleum product pipeline transportation tariff under this regulation shall be benchmarked against the goods tariff table of the railways as applicable on the date of the coming into force of the Petroleum and Natural Gas Regulatory Board (Determination of Petroleum and Petroleum Products Pipeline Transportation Tariff) Amendment Regulations, 2019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749C7492" w14:textId="77777777" w:rsidR="004E16E3" w:rsidRDefault="004E16E3" w:rsidP="004E16E3">
      <w:pPr>
        <w:ind w:left="567"/>
        <w:jc w:val="both"/>
        <w:rPr>
          <w:rFonts w:ascii="Times New Roman" w:hAnsi="Times New Roman"/>
          <w:b/>
          <w:sz w:val="24"/>
          <w:szCs w:val="24"/>
        </w:rPr>
      </w:pPr>
      <w:r>
        <w:rPr>
          <w:rStyle w:val="FootnoteReference"/>
          <w:rFonts w:ascii="Times New Roman" w:hAnsi="Times New Roman"/>
          <w:bCs/>
          <w:sz w:val="24"/>
          <w:szCs w:val="24"/>
        </w:rPr>
        <w:footnoteReference w:id="13"/>
      </w:r>
      <w:r>
        <w:rPr>
          <w:rFonts w:ascii="Times New Roman" w:hAnsi="Times New Roman"/>
          <w:bCs/>
          <w:sz w:val="24"/>
          <w:szCs w:val="24"/>
        </w:rPr>
        <w:t>[</w:t>
      </w:r>
      <w:r>
        <w:rPr>
          <w:rFonts w:ascii="Times New Roman" w:hAnsi="Times New Roman"/>
          <w:b/>
          <w:sz w:val="24"/>
          <w:szCs w:val="24"/>
        </w:rPr>
        <w:t>6. Miscellaneous</w:t>
      </w:r>
    </w:p>
    <w:p w14:paraId="3131059E" w14:textId="77777777" w:rsidR="004E16E3" w:rsidRDefault="004E16E3" w:rsidP="004E16E3">
      <w:pPr>
        <w:ind w:left="1134"/>
        <w:jc w:val="both"/>
        <w:rPr>
          <w:rFonts w:ascii="Times New Roman" w:hAnsi="Times New Roman"/>
          <w:sz w:val="24"/>
          <w:szCs w:val="24"/>
        </w:rPr>
      </w:pPr>
      <w:r>
        <w:rPr>
          <w:rFonts w:ascii="Times New Roman" w:hAnsi="Times New Roman"/>
          <w:sz w:val="24"/>
          <w:szCs w:val="24"/>
        </w:rPr>
        <w:t>If any question arises as to the interpretation of these regulations, the same shall be decided by the Board.]</w:t>
      </w:r>
    </w:p>
    <w:p w14:paraId="40B14C8D" w14:textId="77777777" w:rsidR="004E16E3" w:rsidRDefault="004E16E3" w:rsidP="004E16E3">
      <w:pPr>
        <w:widowControl w:val="0"/>
        <w:autoSpaceDE w:val="0"/>
        <w:autoSpaceDN w:val="0"/>
        <w:adjustRightInd w:val="0"/>
        <w:spacing w:after="0" w:line="225" w:lineRule="exact"/>
        <w:ind w:left="1701" w:right="123" w:hanging="1134"/>
        <w:jc w:val="both"/>
        <w:rPr>
          <w:rFonts w:ascii="Times New Roman" w:hAnsi="Times New Roman"/>
          <w:b/>
          <w:bCs/>
          <w:sz w:val="24"/>
          <w:szCs w:val="24"/>
        </w:rPr>
      </w:pPr>
    </w:p>
    <w:p w14:paraId="3FFEA209" w14:textId="12F82463" w:rsidR="004E16E3" w:rsidRDefault="00FA4FC4" w:rsidP="004E16E3">
      <w:pPr>
        <w:pStyle w:val="Default"/>
        <w:spacing w:after="200"/>
        <w:ind w:left="1701" w:hanging="1276"/>
        <w:jc w:val="both"/>
        <w:rPr>
          <w:rFonts w:ascii="Times New Roman" w:hAnsi="Times New Roman" w:cs="Times New Roman"/>
        </w:rPr>
      </w:pPr>
      <w:r w:rsidRPr="000B3714">
        <w:rPr>
          <w:rFonts w:ascii="Times New Roman" w:hAnsi="Times New Roman"/>
          <w:b/>
          <w:bCs/>
        </w:rPr>
        <w:t>Foot Note:</w:t>
      </w:r>
      <w:r>
        <w:rPr>
          <w:rFonts w:ascii="Times New Roman" w:hAnsi="Times New Roman"/>
          <w:b/>
          <w:bCs/>
        </w:rPr>
        <w:t xml:space="preserve"> </w:t>
      </w:r>
      <w:r w:rsidRPr="000B3714">
        <w:rPr>
          <w:rFonts w:ascii="Times New Roman" w:hAnsi="Times New Roman"/>
        </w:rPr>
        <w:t>Principal regulations were notified vide G.S.R. 987(E), dated 20</w:t>
      </w:r>
      <w:r w:rsidRPr="005412B9">
        <w:rPr>
          <w:rFonts w:ascii="Times New Roman" w:hAnsi="Times New Roman"/>
          <w:vertAlign w:val="superscript"/>
        </w:rPr>
        <w:t>th</w:t>
      </w:r>
      <w:r>
        <w:rPr>
          <w:rFonts w:ascii="Times New Roman" w:hAnsi="Times New Roman"/>
        </w:rPr>
        <w:t xml:space="preserve"> December, 2010 and amended </w:t>
      </w:r>
      <w:r w:rsidRPr="005412B9">
        <w:rPr>
          <w:rFonts w:ascii="Times New Roman" w:hAnsi="Times New Roman"/>
          <w:i/>
          <w:iCs/>
        </w:rPr>
        <w:t>vide</w:t>
      </w:r>
      <w:r>
        <w:rPr>
          <w:rFonts w:ascii="Times New Roman" w:hAnsi="Times New Roman"/>
        </w:rPr>
        <w:t xml:space="preserve"> F. No. PNGRB/M(C)/62/2012, dated 13</w:t>
      </w:r>
      <w:r w:rsidRPr="005412B9">
        <w:rPr>
          <w:rFonts w:ascii="Times New Roman" w:hAnsi="Times New Roman"/>
          <w:vertAlign w:val="superscript"/>
        </w:rPr>
        <w:t>th</w:t>
      </w:r>
      <w:r>
        <w:rPr>
          <w:rFonts w:ascii="Times New Roman" w:hAnsi="Times New Roman"/>
        </w:rPr>
        <w:t xml:space="preserve"> December, 2012</w:t>
      </w:r>
      <w:r w:rsidRPr="006D5F9C">
        <w:rPr>
          <w:rFonts w:ascii="Times New Roman" w:hAnsi="Times New Roman"/>
          <w:b/>
          <w:bCs/>
        </w:rPr>
        <w:t xml:space="preserve"> </w:t>
      </w:r>
      <w:r>
        <w:rPr>
          <w:rFonts w:ascii="Times New Roman" w:hAnsi="Times New Roman"/>
        </w:rPr>
        <w:t>and F. No. PNGRB/M(C)/62/2014, dated 16</w:t>
      </w:r>
      <w:r w:rsidRPr="005412B9">
        <w:rPr>
          <w:rFonts w:ascii="Times New Roman" w:hAnsi="Times New Roman"/>
          <w:vertAlign w:val="superscript"/>
        </w:rPr>
        <w:t>th</w:t>
      </w:r>
      <w:r>
        <w:rPr>
          <w:rFonts w:ascii="Times New Roman" w:hAnsi="Times New Roman"/>
        </w:rPr>
        <w:t xml:space="preserve"> December, 2014 and F. No. L-MISC/VI/I/2007, dated 01</w:t>
      </w:r>
      <w:r w:rsidRPr="00D263D3">
        <w:rPr>
          <w:rFonts w:ascii="Times New Roman" w:hAnsi="Times New Roman"/>
          <w:vertAlign w:val="superscript"/>
        </w:rPr>
        <w:t>st</w:t>
      </w:r>
      <w:r>
        <w:rPr>
          <w:rFonts w:ascii="Times New Roman" w:hAnsi="Times New Roman"/>
        </w:rPr>
        <w:t xml:space="preserve"> January, 2015 and F. No. PNGRB/M/(C)/62/2016, dated 19</w:t>
      </w:r>
      <w:r w:rsidRPr="00B84FA8">
        <w:rPr>
          <w:rFonts w:ascii="Times New Roman" w:hAnsi="Times New Roman"/>
          <w:vertAlign w:val="superscript"/>
        </w:rPr>
        <w:t>th</w:t>
      </w:r>
      <w:r>
        <w:rPr>
          <w:rFonts w:ascii="Times New Roman" w:hAnsi="Times New Roman"/>
        </w:rPr>
        <w:t xml:space="preserve"> December, 2016 and F. No. PNGRB/M(C)/62/2017, dated 19</w:t>
      </w:r>
      <w:r w:rsidRPr="005412B9">
        <w:rPr>
          <w:rFonts w:ascii="Times New Roman" w:hAnsi="Times New Roman"/>
          <w:vertAlign w:val="superscript"/>
        </w:rPr>
        <w:t>th</w:t>
      </w:r>
      <w:r>
        <w:rPr>
          <w:rFonts w:ascii="Times New Roman" w:hAnsi="Times New Roman"/>
        </w:rPr>
        <w:t xml:space="preserve"> December, 2017 and PNGRB/M(C)/62/2017, dated 18</w:t>
      </w:r>
      <w:r w:rsidRPr="005412B9">
        <w:rPr>
          <w:rFonts w:ascii="Times New Roman" w:hAnsi="Times New Roman"/>
          <w:vertAlign w:val="superscript"/>
        </w:rPr>
        <w:t>th</w:t>
      </w:r>
      <w:r>
        <w:rPr>
          <w:rFonts w:ascii="Times New Roman" w:hAnsi="Times New Roman"/>
        </w:rPr>
        <w:t xml:space="preserve"> December, 2018 </w:t>
      </w:r>
      <w:r>
        <w:rPr>
          <w:rFonts w:ascii="Times New Roman" w:hAnsi="Times New Roman" w:cs="Times New Roman"/>
        </w:rPr>
        <w:t>and F. No. PNGRB/M/(C)/62/2019, dated 18</w:t>
      </w:r>
      <w:r w:rsidRPr="00FA4FC4">
        <w:rPr>
          <w:rFonts w:ascii="Times New Roman" w:hAnsi="Times New Roman" w:cs="Times New Roman"/>
          <w:vertAlign w:val="superscript"/>
        </w:rPr>
        <w:t>th</w:t>
      </w:r>
      <w:r>
        <w:rPr>
          <w:rFonts w:ascii="Times New Roman" w:hAnsi="Times New Roman" w:cs="Times New Roman"/>
        </w:rPr>
        <w:t xml:space="preserve"> April, 2019</w:t>
      </w:r>
      <w:r w:rsidR="004E16E3">
        <w:rPr>
          <w:rFonts w:ascii="Times New Roman" w:hAnsi="Times New Roman" w:cs="Times New Roman"/>
        </w:rPr>
        <w:t>.</w:t>
      </w:r>
    </w:p>
    <w:p w14:paraId="62D256D3" w14:textId="77777777" w:rsidR="004E16E3" w:rsidRDefault="004E16E3" w:rsidP="004E16E3"/>
    <w:p w14:paraId="3A59BD3C" w14:textId="77777777" w:rsidR="004E16E3" w:rsidRDefault="004E16E3" w:rsidP="004E16E3"/>
    <w:p w14:paraId="274F8B44" w14:textId="1E463517" w:rsidR="00286C8F" w:rsidRDefault="00546199"/>
    <w:sectPr w:rsidR="00286C8F" w:rsidSect="00E95EDA">
      <w:footerReference w:type="default" r:id="rId7"/>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CA6C62" w14:textId="77777777" w:rsidR="00160389" w:rsidRDefault="00160389" w:rsidP="004E16E3">
      <w:pPr>
        <w:spacing w:after="0" w:line="240" w:lineRule="auto"/>
      </w:pPr>
      <w:r>
        <w:separator/>
      </w:r>
    </w:p>
  </w:endnote>
  <w:endnote w:type="continuationSeparator" w:id="0">
    <w:p w14:paraId="6ABA0835" w14:textId="77777777" w:rsidR="00160389" w:rsidRDefault="00160389" w:rsidP="004E1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E7ECD" w14:textId="77777777" w:rsidR="002B3036" w:rsidRDefault="007E0D2C">
    <w:pPr>
      <w:pStyle w:val="Footer"/>
      <w:jc w:val="right"/>
    </w:pPr>
    <w:r>
      <w:fldChar w:fldCharType="begin"/>
    </w:r>
    <w:r>
      <w:instrText xml:space="preserve"> PAGE   \* MERGEFORMAT </w:instrText>
    </w:r>
    <w:r>
      <w:fldChar w:fldCharType="separate"/>
    </w:r>
    <w:r>
      <w:rPr>
        <w:noProof/>
      </w:rPr>
      <w:t>2</w:t>
    </w:r>
    <w:r>
      <w:rPr>
        <w:noProof/>
      </w:rPr>
      <w:fldChar w:fldCharType="end"/>
    </w:r>
  </w:p>
  <w:p w14:paraId="5F035863" w14:textId="77777777" w:rsidR="002B3036" w:rsidRDefault="00546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0D54BC" w14:textId="77777777" w:rsidR="00160389" w:rsidRDefault="00160389" w:rsidP="004E16E3">
      <w:pPr>
        <w:spacing w:after="0" w:line="240" w:lineRule="auto"/>
      </w:pPr>
      <w:r>
        <w:separator/>
      </w:r>
    </w:p>
  </w:footnote>
  <w:footnote w:type="continuationSeparator" w:id="0">
    <w:p w14:paraId="4A91844A" w14:textId="77777777" w:rsidR="00160389" w:rsidRDefault="00160389" w:rsidP="004E16E3">
      <w:pPr>
        <w:spacing w:after="0" w:line="240" w:lineRule="auto"/>
      </w:pPr>
      <w:r>
        <w:continuationSeparator/>
      </w:r>
    </w:p>
  </w:footnote>
  <w:footnote w:id="1">
    <w:p w14:paraId="1FBD85CF" w14:textId="11963CCA" w:rsidR="004E16E3" w:rsidRDefault="004E16E3" w:rsidP="004E16E3">
      <w:pPr>
        <w:pStyle w:val="FootnoteText"/>
        <w:rPr>
          <w:rFonts w:ascii="Times New Roman" w:hAnsi="Times New Roma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(a) of </w:t>
      </w:r>
      <w:r w:rsidR="00BB2D26">
        <w:rPr>
          <w:rFonts w:ascii="Times New Roman" w:hAnsi="Times New Roman"/>
        </w:rPr>
        <w:t>Reg</w:t>
      </w:r>
      <w:r>
        <w:rPr>
          <w:rFonts w:ascii="Times New Roman" w:hAnsi="Times New Roman"/>
        </w:rPr>
        <w:t xml:space="preserve">. 2,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 xml:space="preserve">ulations, 2012 (w.e.f. 20.12.12). </w:t>
      </w:r>
    </w:p>
  </w:footnote>
  <w:footnote w:id="2">
    <w:p w14:paraId="44C315F7" w14:textId="4234988B" w:rsidR="004E16E3" w:rsidRDefault="004E16E3" w:rsidP="00BB2D26">
      <w:pPr>
        <w:pStyle w:val="FootnoteText"/>
        <w:jc w:val="both"/>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(a) of </w:t>
      </w:r>
      <w:r w:rsidR="00BB2D26">
        <w:rPr>
          <w:rFonts w:ascii="Times New Roman" w:hAnsi="Times New Roman"/>
        </w:rPr>
        <w:t>Reg</w:t>
      </w:r>
      <w:r>
        <w:rPr>
          <w:rFonts w:ascii="Times New Roman" w:hAnsi="Times New Roman"/>
        </w:rPr>
        <w:t xml:space="preserve">. 2,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ulations, 2014 (w.e.f. 20.12.14).</w:t>
      </w:r>
    </w:p>
  </w:footnote>
  <w:footnote w:id="3">
    <w:p w14:paraId="0B2E6E50" w14:textId="6A2A9E8F" w:rsidR="004E16E3" w:rsidRPr="00CB0201" w:rsidRDefault="004E16E3" w:rsidP="00BB2D26">
      <w:pPr>
        <w:pStyle w:val="FootnoteText"/>
        <w:jc w:val="both"/>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(a) of </w:t>
      </w:r>
      <w:r w:rsidR="00BB2D26">
        <w:rPr>
          <w:rFonts w:ascii="Times New Roman" w:hAnsi="Times New Roman"/>
        </w:rPr>
        <w:t>Reg</w:t>
      </w:r>
      <w:r>
        <w:rPr>
          <w:rFonts w:ascii="Times New Roman" w:hAnsi="Times New Roman"/>
        </w:rPr>
        <w:t xml:space="preserve">. 2,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ulations, 2016 (w.e.f. 20.12.16).</w:t>
      </w:r>
    </w:p>
  </w:footnote>
  <w:footnote w:id="4">
    <w:p w14:paraId="0F4AB4C7" w14:textId="326CAEFF" w:rsidR="004E16E3" w:rsidRPr="0073414C" w:rsidRDefault="004E16E3" w:rsidP="00BB2D26">
      <w:pPr>
        <w:pStyle w:val="FootnoteText"/>
        <w:jc w:val="both"/>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(a) of </w:t>
      </w:r>
      <w:r w:rsidR="00BB2D26">
        <w:rPr>
          <w:rFonts w:ascii="Times New Roman" w:hAnsi="Times New Roman"/>
        </w:rPr>
        <w:t>Reg</w:t>
      </w:r>
      <w:r>
        <w:rPr>
          <w:rFonts w:ascii="Times New Roman" w:hAnsi="Times New Roman"/>
        </w:rPr>
        <w:t xml:space="preserve">. 2,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ulations, 2017 (w.e.f. 20.12.17).</w:t>
      </w:r>
    </w:p>
  </w:footnote>
  <w:footnote w:id="5">
    <w:p w14:paraId="4005F53C" w14:textId="165AF53A" w:rsidR="004E16E3" w:rsidRPr="00731F05" w:rsidRDefault="004E16E3" w:rsidP="00BB2D26">
      <w:pPr>
        <w:pStyle w:val="FootnoteText"/>
        <w:jc w:val="both"/>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(a) of </w:t>
      </w:r>
      <w:r w:rsidR="00BB2D26">
        <w:rPr>
          <w:rFonts w:ascii="Times New Roman" w:hAnsi="Times New Roman"/>
        </w:rPr>
        <w:t>Reg</w:t>
      </w:r>
      <w:r>
        <w:rPr>
          <w:rFonts w:ascii="Times New Roman" w:hAnsi="Times New Roman"/>
        </w:rPr>
        <w:t xml:space="preserve">. 3,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ulations, 2018 (w.e.f. 20.12.18).</w:t>
      </w:r>
    </w:p>
  </w:footnote>
  <w:footnote w:id="6">
    <w:p w14:paraId="329B37FD" w14:textId="01AB81A1" w:rsidR="004E16E3" w:rsidRPr="004E16E3" w:rsidRDefault="004E16E3" w:rsidP="00BB2D26">
      <w:pPr>
        <w:pStyle w:val="FootnoteText"/>
        <w:jc w:val="both"/>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(a) of </w:t>
      </w:r>
      <w:r w:rsidR="00BB2D26">
        <w:rPr>
          <w:rFonts w:ascii="Times New Roman" w:hAnsi="Times New Roman"/>
        </w:rPr>
        <w:t>Reg</w:t>
      </w:r>
      <w:r>
        <w:rPr>
          <w:rFonts w:ascii="Times New Roman" w:hAnsi="Times New Roman"/>
        </w:rPr>
        <w:t xml:space="preserve">. 3,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ulations, 2019 (w.e.f. 01.04.19).</w:t>
      </w:r>
    </w:p>
  </w:footnote>
  <w:footnote w:id="7">
    <w:p w14:paraId="3F9DC874" w14:textId="504B655F" w:rsidR="004E16E3" w:rsidRDefault="004E16E3" w:rsidP="00BB2D26">
      <w:pPr>
        <w:pStyle w:val="FootnoteText"/>
        <w:jc w:val="both"/>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(b) of </w:t>
      </w:r>
      <w:r w:rsidR="00BB2D26">
        <w:rPr>
          <w:rFonts w:ascii="Times New Roman" w:hAnsi="Times New Roman"/>
        </w:rPr>
        <w:t>Reg</w:t>
      </w:r>
      <w:r>
        <w:rPr>
          <w:rFonts w:ascii="Times New Roman" w:hAnsi="Times New Roman"/>
        </w:rPr>
        <w:t xml:space="preserve">. 2, </w:t>
      </w:r>
      <w:r w:rsidR="00BB2D26">
        <w:rPr>
          <w:rFonts w:ascii="Times New Roman" w:hAnsi="Times New Roman"/>
        </w:rPr>
        <w:t xml:space="preserve">the Petroleum and Natural Gas Regulatory Board (Determination of Petroleum and Petroleum Products Pipeline Transportation Tariff) Amendment Regulations, 2012 </w:t>
      </w:r>
      <w:r>
        <w:rPr>
          <w:rFonts w:ascii="Times New Roman" w:hAnsi="Times New Roman"/>
        </w:rPr>
        <w:t>(w.e.f. 20.12.12).</w:t>
      </w:r>
    </w:p>
  </w:footnote>
  <w:footnote w:id="8">
    <w:p w14:paraId="231FD2D3" w14:textId="7D234129" w:rsidR="004E16E3" w:rsidRDefault="004E16E3" w:rsidP="004E16E3">
      <w:pPr>
        <w:pStyle w:val="FootnoteText"/>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(b) of </w:t>
      </w:r>
      <w:r w:rsidR="00BB2D26">
        <w:rPr>
          <w:rFonts w:ascii="Times New Roman" w:hAnsi="Times New Roman"/>
        </w:rPr>
        <w:t>Reg</w:t>
      </w:r>
      <w:r>
        <w:rPr>
          <w:rFonts w:ascii="Times New Roman" w:hAnsi="Times New Roman"/>
        </w:rPr>
        <w:t>. 2, Supra 1 (w.e.f. 20.12.14)</w:t>
      </w:r>
    </w:p>
  </w:footnote>
  <w:footnote w:id="9">
    <w:p w14:paraId="16E7A379" w14:textId="0EFD2D1B" w:rsidR="004E16E3" w:rsidRPr="00CB0201" w:rsidRDefault="004E16E3" w:rsidP="004E16E3">
      <w:pPr>
        <w:pStyle w:val="FootnoteText"/>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(a) of </w:t>
      </w:r>
      <w:r w:rsidR="00BB2D26">
        <w:rPr>
          <w:rFonts w:ascii="Times New Roman" w:hAnsi="Times New Roman"/>
        </w:rPr>
        <w:t>Reg</w:t>
      </w:r>
      <w:r>
        <w:rPr>
          <w:rFonts w:ascii="Times New Roman" w:hAnsi="Times New Roman"/>
        </w:rPr>
        <w:t>. 2, Supra 2 (w.e.f. 20.12.16).</w:t>
      </w:r>
    </w:p>
  </w:footnote>
  <w:footnote w:id="10">
    <w:p w14:paraId="4F7722FC" w14:textId="0D9AB506" w:rsidR="004E16E3" w:rsidRPr="0073414C" w:rsidRDefault="004E16E3" w:rsidP="004E16E3">
      <w:pPr>
        <w:pStyle w:val="FootnoteText"/>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(b) of </w:t>
      </w:r>
      <w:r w:rsidR="00BB2D26">
        <w:rPr>
          <w:rFonts w:ascii="Times New Roman" w:hAnsi="Times New Roman"/>
        </w:rPr>
        <w:t>Reg</w:t>
      </w:r>
      <w:r>
        <w:rPr>
          <w:rFonts w:ascii="Times New Roman" w:hAnsi="Times New Roman"/>
        </w:rPr>
        <w:t xml:space="preserve">. 2,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ulations, 2017 (w.e.f. 20.12.17).</w:t>
      </w:r>
    </w:p>
  </w:footnote>
  <w:footnote w:id="11">
    <w:p w14:paraId="28860912" w14:textId="077F0207" w:rsidR="004E16E3" w:rsidRPr="00731F05" w:rsidRDefault="004E16E3" w:rsidP="004E16E3">
      <w:pPr>
        <w:pStyle w:val="FootnoteText"/>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(b) of </w:t>
      </w:r>
      <w:r w:rsidR="00BB2D26">
        <w:rPr>
          <w:rFonts w:ascii="Times New Roman" w:hAnsi="Times New Roman"/>
        </w:rPr>
        <w:t>Reg</w:t>
      </w:r>
      <w:r>
        <w:rPr>
          <w:rFonts w:ascii="Times New Roman" w:hAnsi="Times New Roman"/>
        </w:rPr>
        <w:t xml:space="preserve">. 3,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ulations, 2018 (w.e.f. 20.12.18).</w:t>
      </w:r>
    </w:p>
  </w:footnote>
  <w:footnote w:id="12">
    <w:p w14:paraId="5279E40A" w14:textId="16FDF9DF" w:rsidR="004E16E3" w:rsidRPr="004E16E3" w:rsidRDefault="004E16E3" w:rsidP="00BB2D26">
      <w:pPr>
        <w:pStyle w:val="FootnoteText"/>
        <w:jc w:val="both"/>
        <w:rPr>
          <w:lang w:val="en-IN"/>
        </w:rPr>
      </w:pPr>
      <w:r>
        <w:rPr>
          <w:rStyle w:val="FootnoteReference"/>
        </w:rPr>
        <w:footnoteRef/>
      </w:r>
      <w:r>
        <w:t xml:space="preserve"> </w:t>
      </w:r>
      <w:r>
        <w:rPr>
          <w:rFonts w:ascii="Times New Roman" w:hAnsi="Times New Roman"/>
        </w:rPr>
        <w:t xml:space="preserve">Add. by </w:t>
      </w:r>
      <w:r w:rsidR="00BB2D26">
        <w:rPr>
          <w:rFonts w:ascii="Times New Roman" w:hAnsi="Times New Roman"/>
        </w:rPr>
        <w:t>Cl.</w:t>
      </w:r>
      <w:r>
        <w:rPr>
          <w:rFonts w:ascii="Times New Roman" w:hAnsi="Times New Roman"/>
        </w:rPr>
        <w:t xml:space="preserve"> (b) of </w:t>
      </w:r>
      <w:r w:rsidR="00BB2D26">
        <w:rPr>
          <w:rFonts w:ascii="Times New Roman" w:hAnsi="Times New Roman"/>
        </w:rPr>
        <w:t>Reg</w:t>
      </w:r>
      <w:r>
        <w:rPr>
          <w:rFonts w:ascii="Times New Roman" w:hAnsi="Times New Roman"/>
        </w:rPr>
        <w:t xml:space="preserve">. 3, the Petroleum and Natural Gas </w:t>
      </w:r>
      <w:r w:rsidR="00BB2D26">
        <w:rPr>
          <w:rFonts w:ascii="Times New Roman" w:hAnsi="Times New Roman"/>
        </w:rPr>
        <w:t>Reg</w:t>
      </w:r>
      <w:r>
        <w:rPr>
          <w:rFonts w:ascii="Times New Roman" w:hAnsi="Times New Roman"/>
        </w:rPr>
        <w:t xml:space="preserve">ulatory Board (Determination of Petroleum and Petroleum Products Pipeline Transportation Tariff) Amendment </w:t>
      </w:r>
      <w:r w:rsidR="00BB2D26">
        <w:rPr>
          <w:rFonts w:ascii="Times New Roman" w:hAnsi="Times New Roman"/>
        </w:rPr>
        <w:t>Reg</w:t>
      </w:r>
      <w:r>
        <w:rPr>
          <w:rFonts w:ascii="Times New Roman" w:hAnsi="Times New Roman"/>
        </w:rPr>
        <w:t>ulations, 2019 (w.e.f. 01.04.19).</w:t>
      </w:r>
    </w:p>
  </w:footnote>
  <w:footnote w:id="13">
    <w:p w14:paraId="3916C41E" w14:textId="777CD057" w:rsidR="004E16E3" w:rsidRDefault="004E16E3" w:rsidP="00BB2D26">
      <w:pPr>
        <w:pStyle w:val="FootnoteText"/>
        <w:jc w:val="both"/>
        <w:rPr>
          <w:lang w:val="en-IN"/>
        </w:rPr>
      </w:pPr>
      <w:r>
        <w:rPr>
          <w:rStyle w:val="FootnoteReference"/>
        </w:rPr>
        <w:footnoteRef/>
      </w:r>
      <w:r>
        <w:t xml:space="preserve"> </w:t>
      </w:r>
      <w:r>
        <w:rPr>
          <w:rFonts w:ascii="Times New Roman" w:hAnsi="Times New Roman"/>
          <w:lang w:val="en-IN"/>
        </w:rPr>
        <w:t xml:space="preserve">Subs. by </w:t>
      </w:r>
      <w:r w:rsidR="00BB2D26">
        <w:rPr>
          <w:rFonts w:ascii="Times New Roman" w:hAnsi="Times New Roman"/>
          <w:lang w:val="en-IN"/>
        </w:rPr>
        <w:t>Reg</w:t>
      </w:r>
      <w:r>
        <w:rPr>
          <w:rFonts w:ascii="Times New Roman" w:hAnsi="Times New Roman"/>
          <w:lang w:val="en-IN"/>
        </w:rPr>
        <w:t xml:space="preserve"> 2, the Petroleum and Natural Gas </w:t>
      </w:r>
      <w:r w:rsidR="00BB2D26">
        <w:rPr>
          <w:rFonts w:ascii="Times New Roman" w:hAnsi="Times New Roman"/>
          <w:lang w:val="en-IN"/>
        </w:rPr>
        <w:t>Reg</w:t>
      </w:r>
      <w:r>
        <w:rPr>
          <w:rFonts w:ascii="Times New Roman" w:hAnsi="Times New Roman"/>
          <w:lang w:val="en-IN"/>
        </w:rPr>
        <w:t xml:space="preserve">ulatory Board (Determining of Petroleum and Petroleum Products Pipeline Transportation Tariff) Amendment </w:t>
      </w:r>
      <w:r w:rsidR="00BB2D26">
        <w:rPr>
          <w:rFonts w:ascii="Times New Roman" w:hAnsi="Times New Roman"/>
          <w:lang w:val="en-IN"/>
        </w:rPr>
        <w:t>Reg</w:t>
      </w:r>
      <w:r>
        <w:rPr>
          <w:rFonts w:ascii="Times New Roman" w:hAnsi="Times New Roman"/>
          <w:lang w:val="en-IN"/>
        </w:rPr>
        <w:t xml:space="preserve">ulations, 2014, for </w:t>
      </w:r>
      <w:r w:rsidR="00BB2D26">
        <w:rPr>
          <w:rFonts w:ascii="Times New Roman" w:hAnsi="Times New Roman"/>
          <w:lang w:val="en-IN"/>
        </w:rPr>
        <w:t>Reg</w:t>
      </w:r>
      <w:r>
        <w:rPr>
          <w:rFonts w:ascii="Times New Roman" w:hAnsi="Times New Roman"/>
          <w:lang w:val="en-IN"/>
        </w:rPr>
        <w:t>. 6 (w.e.f. 01.01.2015)</w:t>
      </w:r>
      <w:r w:rsidR="00BB2D26">
        <w:rPr>
          <w:rFonts w:ascii="Times New Roman" w:hAnsi="Times New Roman"/>
          <w:lang w:val="en-I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55C9"/>
    <w:multiLevelType w:val="hybridMultilevel"/>
    <w:tmpl w:val="99CCC4B8"/>
    <w:lvl w:ilvl="0" w:tplc="6B8EAD4E">
      <w:start w:val="1"/>
      <w:numFmt w:val="lowerLetter"/>
      <w:lvlText w:val="(%1)"/>
      <w:lvlJc w:val="left"/>
      <w:pPr>
        <w:ind w:left="1854"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11D416A3"/>
    <w:multiLevelType w:val="hybridMultilevel"/>
    <w:tmpl w:val="CE947EE6"/>
    <w:lvl w:ilvl="0" w:tplc="EBDA9C1E">
      <w:start w:val="1"/>
      <w:numFmt w:val="decimal"/>
      <w:lvlText w:val="(%1)"/>
      <w:lvlJc w:val="left"/>
      <w:pPr>
        <w:ind w:left="36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15:restartNumberingAfterBreak="0">
    <w:nsid w:val="37EE71F4"/>
    <w:multiLevelType w:val="hybridMultilevel"/>
    <w:tmpl w:val="CBFAB0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47F0CD5"/>
    <w:multiLevelType w:val="hybridMultilevel"/>
    <w:tmpl w:val="48F8D8EE"/>
    <w:lvl w:ilvl="0" w:tplc="EBDA9C1E">
      <w:start w:val="1"/>
      <w:numFmt w:val="decimal"/>
      <w:lvlText w:val="(%1)"/>
      <w:lvlJc w:val="left"/>
      <w:pPr>
        <w:ind w:left="1287" w:hanging="360"/>
      </w:pPr>
    </w:lvl>
    <w:lvl w:ilvl="1" w:tplc="40090019">
      <w:start w:val="1"/>
      <w:numFmt w:val="lowerLetter"/>
      <w:lvlText w:val="%2."/>
      <w:lvlJc w:val="left"/>
      <w:pPr>
        <w:ind w:left="2007" w:hanging="360"/>
      </w:pPr>
    </w:lvl>
    <w:lvl w:ilvl="2" w:tplc="4009001B">
      <w:start w:val="1"/>
      <w:numFmt w:val="lowerRoman"/>
      <w:lvlText w:val="%3."/>
      <w:lvlJc w:val="right"/>
      <w:pPr>
        <w:ind w:left="2727" w:hanging="180"/>
      </w:pPr>
    </w:lvl>
    <w:lvl w:ilvl="3" w:tplc="4009000F">
      <w:start w:val="1"/>
      <w:numFmt w:val="decimal"/>
      <w:lvlText w:val="%4."/>
      <w:lvlJc w:val="left"/>
      <w:pPr>
        <w:ind w:left="3447" w:hanging="360"/>
      </w:pPr>
    </w:lvl>
    <w:lvl w:ilvl="4" w:tplc="40090019">
      <w:start w:val="1"/>
      <w:numFmt w:val="lowerLetter"/>
      <w:lvlText w:val="%5."/>
      <w:lvlJc w:val="left"/>
      <w:pPr>
        <w:ind w:left="4167" w:hanging="360"/>
      </w:pPr>
    </w:lvl>
    <w:lvl w:ilvl="5" w:tplc="4009001B">
      <w:start w:val="1"/>
      <w:numFmt w:val="lowerRoman"/>
      <w:lvlText w:val="%6."/>
      <w:lvlJc w:val="right"/>
      <w:pPr>
        <w:ind w:left="4887" w:hanging="180"/>
      </w:pPr>
    </w:lvl>
    <w:lvl w:ilvl="6" w:tplc="4009000F">
      <w:start w:val="1"/>
      <w:numFmt w:val="decimal"/>
      <w:lvlText w:val="%7."/>
      <w:lvlJc w:val="left"/>
      <w:pPr>
        <w:ind w:left="5607" w:hanging="360"/>
      </w:pPr>
    </w:lvl>
    <w:lvl w:ilvl="7" w:tplc="40090019">
      <w:start w:val="1"/>
      <w:numFmt w:val="lowerLetter"/>
      <w:lvlText w:val="%8."/>
      <w:lvlJc w:val="left"/>
      <w:pPr>
        <w:ind w:left="6327" w:hanging="360"/>
      </w:pPr>
    </w:lvl>
    <w:lvl w:ilvl="8" w:tplc="4009001B">
      <w:start w:val="1"/>
      <w:numFmt w:val="lowerRoman"/>
      <w:lvlText w:val="%9."/>
      <w:lvlJc w:val="right"/>
      <w:pPr>
        <w:ind w:left="7047" w:hanging="180"/>
      </w:pPr>
    </w:lvl>
  </w:abstractNum>
  <w:abstractNum w:abstractNumId="4" w15:restartNumberingAfterBreak="0">
    <w:nsid w:val="5F6919FC"/>
    <w:multiLevelType w:val="hybridMultilevel"/>
    <w:tmpl w:val="1E48EF78"/>
    <w:lvl w:ilvl="0" w:tplc="3B989904">
      <w:start w:val="2"/>
      <w:numFmt w:val="decimal"/>
      <w:lvlText w:val="(%1)"/>
      <w:lvlJc w:val="left"/>
      <w:pPr>
        <w:ind w:left="1287"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6E3"/>
    <w:rsid w:val="000C4BB3"/>
    <w:rsid w:val="00160389"/>
    <w:rsid w:val="00331B72"/>
    <w:rsid w:val="003F4885"/>
    <w:rsid w:val="004E16E3"/>
    <w:rsid w:val="00546199"/>
    <w:rsid w:val="00630811"/>
    <w:rsid w:val="007B5A80"/>
    <w:rsid w:val="007E0D2C"/>
    <w:rsid w:val="00875A1E"/>
    <w:rsid w:val="009130DB"/>
    <w:rsid w:val="00947138"/>
    <w:rsid w:val="009D4710"/>
    <w:rsid w:val="00BB2D26"/>
    <w:rsid w:val="00BD1BB8"/>
    <w:rsid w:val="00D57EC4"/>
    <w:rsid w:val="00FA4F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08509"/>
  <w15:chartTrackingRefBased/>
  <w15:docId w15:val="{C0BCA788-7A51-4E33-9FF1-1C8B2247B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6E3"/>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6E3"/>
    <w:pPr>
      <w:ind w:left="720"/>
      <w:contextualSpacing/>
    </w:pPr>
  </w:style>
  <w:style w:type="paragraph" w:styleId="Footer">
    <w:name w:val="footer"/>
    <w:basedOn w:val="Normal"/>
    <w:link w:val="FooterChar"/>
    <w:uiPriority w:val="99"/>
    <w:unhideWhenUsed/>
    <w:rsid w:val="004E16E3"/>
    <w:pPr>
      <w:tabs>
        <w:tab w:val="center" w:pos="4513"/>
        <w:tab w:val="right" w:pos="9026"/>
      </w:tabs>
    </w:pPr>
  </w:style>
  <w:style w:type="character" w:customStyle="1" w:styleId="FooterChar">
    <w:name w:val="Footer Char"/>
    <w:basedOn w:val="DefaultParagraphFont"/>
    <w:link w:val="Footer"/>
    <w:uiPriority w:val="99"/>
    <w:rsid w:val="004E16E3"/>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4E16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6E3"/>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4E16E3"/>
    <w:rPr>
      <w:vertAlign w:val="superscript"/>
    </w:rPr>
  </w:style>
  <w:style w:type="paragraph" w:customStyle="1" w:styleId="Default">
    <w:name w:val="Default"/>
    <w:rsid w:val="004E16E3"/>
    <w:pPr>
      <w:widowControl w:val="0"/>
      <w:autoSpaceDE w:val="0"/>
      <w:autoSpaceDN w:val="0"/>
      <w:adjustRightInd w:val="0"/>
      <w:spacing w:after="0" w:line="240" w:lineRule="auto"/>
    </w:pPr>
    <w:rPr>
      <w:rFonts w:ascii="Arial" w:eastAsia="Times New Roman" w:hAnsi="Arial" w:cs="Arial"/>
      <w:color w:val="000000"/>
      <w:sz w:val="24"/>
      <w:szCs w:val="24"/>
      <w:lang w:val="en-US" w:bidi="ar-SA"/>
    </w:rPr>
  </w:style>
  <w:style w:type="paragraph" w:styleId="BalloonText">
    <w:name w:val="Balloon Text"/>
    <w:basedOn w:val="Normal"/>
    <w:link w:val="BalloonTextChar"/>
    <w:uiPriority w:val="99"/>
    <w:semiHidden/>
    <w:unhideWhenUsed/>
    <w:rsid w:val="003F48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4885"/>
    <w:rPr>
      <w:rFonts w:ascii="Segoe UI" w:eastAsia="Calibri" w:hAnsi="Segoe UI" w:cs="Segoe UI"/>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60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1422</Words>
  <Characters>8106</Characters>
  <Application>Microsoft Office Word</Application>
  <DocSecurity>0</DocSecurity>
  <Lines>67</Lines>
  <Paragraphs>19</Paragraphs>
  <ScaleCrop>false</ScaleCrop>
  <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cp:lastPrinted>2019-12-13T06:33:00Z</cp:lastPrinted>
  <dcterms:created xsi:type="dcterms:W3CDTF">2019-12-12T05:49:00Z</dcterms:created>
  <dcterms:modified xsi:type="dcterms:W3CDTF">2020-07-01T07:17:00Z</dcterms:modified>
</cp:coreProperties>
</file>